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JF-2010-051</w:t>
      </w:r>
    </w:p>
    <w:p>
      <w:pPr>
        <w:pStyle w:val="Normal"/>
        <w:jc w:val="center"/>
        <w:rPr>
          <w:b/>
          <w:sz w:val="44"/>
          <w:szCs w:val="44"/>
        </w:rPr>
      </w:pPr>
      <w:r>
        <w:rPr>
          <w:b/>
          <w:sz w:val="44"/>
          <w:szCs w:val="44"/>
        </w:rPr>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天津市广告承揽合同</w:t>
      </w:r>
    </w:p>
    <w:p>
      <w:pPr>
        <w:pStyle w:val="Normal"/>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rPr>
          <w:rFonts w:ascii="仿宋_GB2312;仿宋" w:hAnsi="仿宋_GB2312;仿宋" w:eastAsia="仿宋_GB2312;仿宋"/>
          <w:sz w:val="28"/>
          <w:szCs w:val="28"/>
        </w:rPr>
      </w:pPr>
      <w:r>
        <w:rPr>
          <w:rFonts w:eastAsia="Times New Roman"/>
        </w:rPr>
        <w:t xml:space="preserve">                                                      </w:t>
      </w: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6"/>
          <w:sz w:val="22"/>
          <w:szCs w:val="22"/>
        </w:rPr>
        <w:t>广 告 发 布 单 位 名 称 （简称乙方）</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甲方委托乙方利用乙方的报刊《</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电视台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频道，</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广播电台</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频率发布广告。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（一）广告发布内容：</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（二）广告设计时限：</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（三）广告制作时限：</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（四）广告发布时间：</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（五）广告发布次数：</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（六）广告发布版位（频道、频率）：</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（七）广告规格尺寸：</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（八）其他约定：</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b/>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广告费用、支付期限和方式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元，制作费用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元，发布费用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元，合计</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日前支付总费用的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元，作为定金，待最后一次支付剩余款项时抵作价款。剩余款项分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、转账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）质量检验机构对广告中有关商品质量内容出具的证明文件；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日内，向乙方提供广告样件，并承诺样件内容真实合法。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、甲方因特殊原因需要撤销广告发布订单或暂缓广告发布的，应在广告发布日的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天前以书面形式通知乙方，否则应按广告费用的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、甲方应当按照合同约定的金额、时间、方式支付广告费用。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、因乙方原因造成广告无法按期发布的，甲方有权要求乙方顺延发布。因延迟发布给甲方造成损失的，乙方应按广告费用的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、乙方承诺合法拥有本合同约定媒体的广告发布资格。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、乙方应当按照双方的约定发布广告。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、乙方应建立广告审查制度，配备合格的广告审查人员，依法审查广告样件，广告样件必须经广告审查人员签字同意后方可发布。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、甲方提供的广告样件内容及其表现形式不符合法律法规规定的，或者规格不符合技术标准的，乙方有权要求甲方修改。甲方应在广告发布日的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天前，将修改后的样件交给乙方。如果甲方不同意修改或逾期仍未提供修改稿的，乙方有权拒绝发布，不视为乙方违约。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天前，将广告发布样件交给甲方，经甲方确认后方可发布。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７、因乙方原因造成广告无法按期发布或需变更发布版位、频道、频率、规格、时段和时长的，乙方应在广告发布日的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天前以书面形式通知甲方，重新发布事项由双方共同协商。否则乙方应按广告发布费用的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赔偿甲方损失。因变更广告发布版位、频道、频率、规格、时段和时长使广告费用发生变动的，经双方协商，重新核定广告费用。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８、乙方应建立广告档案管理制度，自本合同履行完毕之日起保存本合同文本和有关资料两年。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2"/>
          <w:kern w:val="0"/>
          <w:sz w:val="22"/>
          <w:szCs w:val="22"/>
        </w:rPr>
        <w:t>（二）甲方未按照约定付款的，每逾期一天按照未支付金额</w:t>
      </w:r>
      <w:r>
        <w:rPr>
          <w:rFonts w:ascii="方正书宋_GBK" w:hAnsi="方正书宋_GBK" w:cs="方正书宋_GBK" w:eastAsia="方正书宋_GBK"/>
          <w:spacing w:val="17"/>
          <w:kern w:val="0"/>
          <w:sz w:val="22"/>
          <w:szCs w:val="22"/>
        </w:rPr>
        <w:t>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支付违约金。逾期付款时间超过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日的，乙方有权解除合同。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（四）乙方承担广告设计、制作，因设计、制作逾期而无法按期发布的，由乙方承担违约责任，按本合同约定广告费用的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（五）因乙方原因导致广告漏发或者错发、规格和内容错误的，乙方给予补发。补发时间由甲乙双方协商确定。由此造成甲方无法实现合同目的的，乙方应按本合同约定广告费用的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（六）乙方已尽法定审查义务，而因甲方提供虚假证明材料造成广告作品侵犯第三方合法权益的，甲方承担全部责任，乙方明知或应知甲方提供虚假证明材料的除外。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双方在履行合同中发生的争议，由双方协商解决。协商不成的，双方同意按以下第</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１、向</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２、向</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                         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                          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 xml:space="preserve">年   月   日                    年   月   日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_GBK">
    <w:charset w:val="86"/>
    <w:family w:val="auto"/>
    <w:pitch w:val="default"/>
  </w:font>
  <w:font w:name="仿宋_GB2312">
    <w:altName w:val="仿宋"/>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27360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2010-12-27T14:07:00Z</dcterms:created>
  <dc:creator>袁弘信</dc:creator>
  <dc:description/>
  <dc:language>zh-CN</dc:language>
  <cp:lastModifiedBy>袁弘信</cp:lastModifiedBy>
  <dcterms:modified xsi:type="dcterms:W3CDTF">2022-02-18T17:04:05Z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