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00"/>
        <w:jc w:val="distribute"/>
        <w:rPr>
          <w:rFonts w:ascii="Times New Roman" w:hAnsi="Times New Roman" w:eastAsia="方正仿宋_GB2312;方正仿宋_GB2312" w:cs="Times New Roman"/>
          <w:kern w:val="2"/>
          <w:sz w:val="32"/>
          <w:szCs w:val="32"/>
          <w:highlight w:val="none"/>
          <w:lang w:eastAsia="zh-CN"/>
        </w:rPr>
      </w:pPr>
      <w:r>
        <w:rPr>
          <w:rFonts w:ascii="Times New Roman" w:hAnsi="Times New Roman" w:cs="Times New Roman" w:eastAsia="方正黑体_GBK;Arial Unicode MS"/>
          <w:sz w:val="52"/>
          <w:szCs w:val="52"/>
        </w:rPr>
        <w:t>浙江省合同示范文本</w:t>
      </w:r>
      <w:r>
        <w:rPr>
          <w:rFonts w:ascii="Times New Roman" w:hAnsi="Times New Roman" w:cs="Times New Roman" w:eastAsia="方正仿宋_GB2312;方正仿宋_GB2312"/>
          <w:kern w:val="2"/>
          <w:sz w:val="32"/>
          <w:szCs w:val="32"/>
          <w:lang w:eastAsia="zh-CN"/>
        </w:rPr>
        <w:t>（</w:t>
      </w:r>
      <w:r>
        <w:rPr>
          <w:rFonts w:eastAsia="仿宋_GB2312;仿宋" w:cs="Times New Roman"/>
          <w:sz w:val="32"/>
          <w:szCs w:val="32"/>
          <w:lang w:val="en-US" w:eastAsia="zh-CN"/>
        </w:rPr>
        <w:t>HT33</w:t>
      </w:r>
      <w:r>
        <w:rPr>
          <w:rFonts w:ascii="Times New Roman" w:hAnsi="Times New Roman" w:cs="Times New Roman" w:eastAsia="仿宋_GB2312;仿宋"/>
          <w:sz w:val="32"/>
          <w:szCs w:val="32"/>
          <w:lang w:val="en-US" w:eastAsia="zh-CN"/>
        </w:rPr>
        <w:t>／</w:t>
      </w:r>
      <w:r>
        <w:rPr>
          <w:rFonts w:eastAsia="仿宋_GB2312;仿宋" w:cs="Times New Roman"/>
          <w:sz w:val="32"/>
          <w:szCs w:val="32"/>
          <w:lang w:val="en-US" w:eastAsia="zh-CN"/>
        </w:rPr>
        <w:t>SF01</w:t>
      </w:r>
      <w:r>
        <w:rPr>
          <w:rFonts w:ascii="Times New Roman" w:hAnsi="Times New Roman" w:cs="Times New Roman" w:eastAsia="仿宋_GB2312;仿宋"/>
          <w:sz w:val="32"/>
          <w:szCs w:val="32"/>
          <w:lang w:val="en-US" w:eastAsia="zh-CN"/>
        </w:rPr>
        <w:t>　</w:t>
      </w:r>
      <w:r>
        <w:rPr>
          <w:rFonts w:eastAsia="仿宋_GB2312;仿宋" w:cs="Times New Roman"/>
          <w:sz w:val="32"/>
          <w:szCs w:val="32"/>
          <w:lang w:val="en-US" w:eastAsia="zh-CN"/>
        </w:rPr>
        <w:t>2-2023</w:t>
      </w:r>
      <w:r>
        <w:rPr>
          <w:rFonts w:ascii="Times New Roman" w:hAnsi="Times New Roman" w:cs="Times New Roman" w:eastAsia="方正仿宋_GB2312;方正仿宋_GB2312"/>
          <w:kern w:val="2"/>
          <w:sz w:val="32"/>
          <w:szCs w:val="32"/>
          <w:lang w:eastAsia="zh-CN"/>
        </w:rPr>
        <w:t>）</w:t>
      </w:r>
    </w:p>
    <w:p>
      <w:pPr>
        <w:pStyle w:val="Normal"/>
        <w:spacing w:lineRule="exact" w:line="600"/>
        <w:rPr>
          <w:rFonts w:ascii="Times New Roman" w:hAnsi="Times New Roman" w:eastAsia="仿宋_GB2312;仿宋" w:cs="Times New Roman"/>
          <w:sz w:val="44"/>
          <w:szCs w:val="44"/>
          <w:highlight w:val="none"/>
        </w:rPr>
      </w:pPr>
      <w:r>
        <w:rPr>
          <w:rFonts w:ascii="Times New Roman" w:hAnsi="Times New Roman" w:cs="Times New Roman" w:eastAsia="Times New Roman"/>
          <w:sz w:val="32"/>
          <w:szCs w:val="32"/>
          <w:u w:val="single"/>
        </w:rPr>
        <w:t xml:space="preserve"> </w:t>
      </w:r>
      <w:r>
        <w:rPr>
          <w:rFonts w:ascii="Times New Roman" w:hAnsi="Times New Roman" w:cs="Times New Roman" w:eastAsia="Times New Roman"/>
          <w:sz w:val="44"/>
          <w:szCs w:val="44"/>
          <w:u w:val="single"/>
        </w:rPr>
        <w:t xml:space="preserve">                               </w:t>
      </w:r>
      <w:r>
        <w:rPr>
          <w:rFonts w:ascii="Times New Roman" w:hAnsi="Times New Roman" w:cs="Times New Roman" w:eastAsia="Times New Roman"/>
          <w:sz w:val="44"/>
          <w:szCs w:val="44"/>
          <w:u w:val="single"/>
          <w:lang w:val="en-US" w:eastAsia="zh-CN"/>
        </w:rPr>
        <w:t xml:space="preserve"> </w:t>
      </w:r>
      <w:r>
        <w:rPr>
          <w:rFonts w:ascii="Times New Roman" w:hAnsi="Times New Roman" w:cs="Times New Roman" w:eastAsia="Times New Roman"/>
          <w:sz w:val="44"/>
          <w:szCs w:val="44"/>
          <w:u w:val="single"/>
        </w:rPr>
        <w:t xml:space="preserve">         </w:t>
      </w:r>
    </w:p>
    <w:p>
      <w:pPr>
        <w:pStyle w:val="Normal"/>
        <w:autoSpaceDE w:val="false"/>
        <w:ind w:firstLine="4800" w:end="0"/>
        <w:rPr>
          <w:rFonts w:ascii="Times New Roman" w:hAnsi="Times New Roman" w:eastAsia="宋体" w:cs="Times New Roman"/>
          <w:color w:val="000000"/>
          <w:kern w:val="0"/>
          <w:sz w:val="30"/>
          <w:szCs w:val="30"/>
          <w:highlight w:val="none"/>
          <w:lang w:val="en-US" w:eastAsia="zh-CN"/>
        </w:rPr>
      </w:pPr>
      <w:r>
        <w:rPr>
          <w:rFonts w:ascii="Times New Roman" w:hAnsi="Times New Roman" w:cs="Times New Roman" w:eastAsia="Times New Roman"/>
          <w:color w:val="000000"/>
          <w:kern w:val="0"/>
          <w:sz w:val="32"/>
          <w:szCs w:val="32"/>
          <w:lang w:val="en-US" w:eastAsia="zh-CN"/>
        </w:rPr>
        <w:t xml:space="preserve"> </w:t>
      </w:r>
      <w:r>
        <w:rPr>
          <w:rFonts w:ascii="Times New Roman" w:hAnsi="Times New Roman" w:cs="Times New Roman" w:eastAsia="Times New Roman"/>
          <w:color w:val="000000"/>
          <w:kern w:val="0"/>
          <w:sz w:val="30"/>
          <w:szCs w:val="30"/>
          <w:lang w:val="en-US" w:eastAsia="zh-CN"/>
        </w:rPr>
        <w:t xml:space="preserve">                   </w:t>
      </w:r>
    </w:p>
    <w:p>
      <w:pPr>
        <w:pStyle w:val="Normal"/>
        <w:rPr>
          <w:rFonts w:ascii="Times New Roman" w:hAnsi="Times New Roman" w:eastAsia="宋体" w:cs="Times New Roman"/>
          <w:color w:val="000000"/>
          <w:kern w:val="0"/>
          <w:sz w:val="28"/>
          <w:szCs w:val="28"/>
          <w:highlight w:val="none"/>
          <w:lang w:val="en-US" w:eastAsia="zh-CN"/>
        </w:rPr>
      </w:pPr>
      <w:r>
        <w:rPr>
          <w:rFonts w:eastAsia="宋体" w:cs="Times New Roman"/>
          <w:color w:val="000000"/>
          <w:kern w:val="0"/>
          <w:sz w:val="28"/>
          <w:szCs w:val="28"/>
          <w:lang w:val="en-US" w:eastAsia="zh-CN"/>
        </w:rPr>
      </w:r>
    </w:p>
    <w:p>
      <w:pPr>
        <w:pStyle w:val="Normal"/>
        <w:autoSpaceDE w:val="false"/>
        <w:jc w:val="center"/>
        <w:rPr>
          <w:rFonts w:ascii="Times New Roman" w:hAnsi="Times New Roman" w:eastAsia="方正小标宋简体" w:cs="Times New Roman"/>
          <w:color w:val="000000"/>
          <w:kern w:val="2"/>
          <w:sz w:val="44"/>
          <w:szCs w:val="44"/>
          <w:highlight w:val="none"/>
        </w:rPr>
      </w:pPr>
      <w:r>
        <w:rPr>
          <w:rFonts w:ascii="Times New Roman" w:hAnsi="Times New Roman" w:cs="Times New Roman" w:eastAsia="方正小标宋简体"/>
          <w:color w:val="000000"/>
          <w:kern w:val="2"/>
          <w:sz w:val="44"/>
          <w:szCs w:val="44"/>
        </w:rPr>
        <w:t>浙江省商品房买卖合同（</w:t>
      </w:r>
      <w:r>
        <w:rPr>
          <w:rFonts w:ascii="Times New Roman" w:hAnsi="Times New Roman" w:cs="Times New Roman" w:eastAsia="方正小标宋简体"/>
          <w:color w:val="000000"/>
          <w:kern w:val="2"/>
          <w:sz w:val="44"/>
          <w:szCs w:val="44"/>
          <w:lang w:val="en-US" w:eastAsia="zh-CN"/>
        </w:rPr>
        <w:t>现</w:t>
      </w:r>
      <w:r>
        <w:rPr>
          <w:rFonts w:ascii="Times New Roman" w:hAnsi="Times New Roman" w:cs="Times New Roman" w:eastAsia="方正小标宋简体"/>
          <w:color w:val="000000"/>
          <w:kern w:val="2"/>
          <w:sz w:val="44"/>
          <w:szCs w:val="44"/>
        </w:rPr>
        <w:t>售）</w:t>
      </w:r>
    </w:p>
    <w:p>
      <w:pPr>
        <w:pStyle w:val="Normal"/>
        <w:autoSpaceDE w:val="false"/>
        <w:rPr>
          <w:rFonts w:ascii="Times New Roman" w:hAnsi="Times New Roman" w:eastAsia="方正小标宋简体" w:cs="Times New Roman"/>
          <w:color w:val="000000"/>
          <w:kern w:val="0"/>
          <w:sz w:val="30"/>
          <w:szCs w:val="30"/>
          <w:highlight w:val="none"/>
        </w:rPr>
      </w:pPr>
      <w:r>
        <w:rPr>
          <w:rFonts w:eastAsia="方正小标宋简体" w:cs="Times New Roman"/>
          <w:color w:val="000000"/>
          <w:kern w:val="0"/>
          <w:sz w:val="30"/>
          <w:szCs w:val="30"/>
        </w:rPr>
      </w:r>
    </w:p>
    <w:p>
      <w:pPr>
        <w:pStyle w:val="Normal"/>
        <w:autoSpaceDE w:val="false"/>
        <w:rPr>
          <w:rFonts w:ascii="Times New Roman" w:hAnsi="Times New Roman" w:cs="Times New Roman"/>
          <w:color w:val="000000"/>
          <w:kern w:val="0"/>
          <w:sz w:val="30"/>
          <w:szCs w:val="30"/>
          <w:highlight w:val="none"/>
        </w:rPr>
      </w:pPr>
      <w:r>
        <w:rPr>
          <w:rFonts w:cs="Times New Roman"/>
          <w:color w:val="000000"/>
          <w:kern w:val="0"/>
          <w:sz w:val="30"/>
          <w:szCs w:val="30"/>
        </w:rPr>
      </w:r>
    </w:p>
    <w:p>
      <w:pPr>
        <w:pStyle w:val="Normal"/>
        <w:keepNext w:val="false"/>
        <w:keepLines w:val="false"/>
        <w:pageBreakBefore w:val="false"/>
        <w:widowControl w:val="false"/>
        <w:kinsoku w:val="true"/>
        <w:overflowPunct w:val="true"/>
        <w:autoSpaceDE w:val="false"/>
        <w:bidi w:val="0"/>
        <w:snapToGrid w:val="true"/>
        <w:ind w:firstLine="1280" w:end="0"/>
        <w:jc w:val="start"/>
        <w:textAlignment w:val="auto"/>
        <w:rPr>
          <w:rFonts w:ascii="Times New Roman" w:hAnsi="Times New Roman" w:cs="Times New Roman"/>
          <w:b w:val="false"/>
          <w:bCs w:val="false"/>
          <w:color w:val="000000"/>
          <w:kern w:val="0"/>
          <w:sz w:val="32"/>
          <w:szCs w:val="32"/>
          <w:highlight w:val="none"/>
          <w:u w:val="single"/>
          <w:lang w:val="en-US" w:eastAsia="zh-CN"/>
        </w:rPr>
      </w:pPr>
      <w:r>
        <w:rPr>
          <w:rFonts w:ascii="Times New Roman" w:hAnsi="Times New Roman" w:cs="Times New Roman"/>
          <w:b w:val="false"/>
          <w:bCs w:val="false"/>
          <w:color w:val="000000"/>
          <w:kern w:val="0"/>
          <w:sz w:val="32"/>
          <w:szCs w:val="32"/>
          <w:lang w:val="en-US" w:eastAsia="zh-CN"/>
        </w:rPr>
        <w:t>出卖人：</w:t>
      </w:r>
      <w:r>
        <w:rPr>
          <w:rFonts w:ascii="Times New Roman" w:hAnsi="Times New Roman" w:cs="Times New Roman" w:eastAsia="Times New Roman"/>
          <w:b w:val="false"/>
          <w:bCs w:val="false"/>
          <w:color w:val="000000"/>
          <w:kern w:val="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false"/>
        <w:bidi w:val="0"/>
        <w:snapToGrid w:val="true"/>
        <w:ind w:firstLine="1280" w:end="0"/>
        <w:textAlignment w:val="auto"/>
        <w:rPr>
          <w:rFonts w:ascii="Times New Roman" w:hAnsi="Times New Roman" w:cs="Times New Roman"/>
          <w:b w:val="false"/>
          <w:bCs w:val="false"/>
          <w:color w:val="000000"/>
          <w:kern w:val="0"/>
          <w:sz w:val="32"/>
          <w:szCs w:val="32"/>
          <w:highlight w:val="none"/>
          <w:u w:val="single"/>
          <w:lang w:val="en-US" w:eastAsia="zh-CN"/>
        </w:rPr>
      </w:pPr>
      <w:r>
        <w:rPr>
          <w:rFonts w:ascii="Times New Roman" w:hAnsi="Times New Roman" w:cs="Times New Roman"/>
          <w:b w:val="false"/>
          <w:bCs w:val="false"/>
          <w:color w:val="000000"/>
          <w:kern w:val="0"/>
          <w:sz w:val="32"/>
          <w:szCs w:val="32"/>
          <w:lang w:val="en-US" w:eastAsia="zh-CN"/>
        </w:rPr>
        <w:t>买受人：</w:t>
      </w:r>
      <w:r>
        <w:rPr>
          <w:rFonts w:ascii="Times New Roman" w:hAnsi="Times New Roman" w:cs="Times New Roman" w:eastAsia="Times New Roman"/>
          <w:b w:val="false"/>
          <w:bCs w:val="false"/>
          <w:color w:val="000000"/>
          <w:kern w:val="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false"/>
        <w:bidi w:val="0"/>
        <w:snapToGrid w:val="true"/>
        <w:ind w:firstLine="1280" w:end="0"/>
        <w:textAlignment w:val="auto"/>
        <w:rPr>
          <w:rFonts w:ascii="Times New Roman" w:hAnsi="Times New Roman" w:eastAsia="宋体" w:cs="Times New Roman"/>
          <w:b w:val="false"/>
          <w:bCs w:val="false"/>
          <w:color w:val="000000"/>
          <w:kern w:val="0"/>
          <w:sz w:val="32"/>
          <w:szCs w:val="32"/>
          <w:highlight w:val="none"/>
          <w:u w:val="single"/>
          <w:lang w:val="en-US" w:eastAsia="zh-CN"/>
        </w:rPr>
      </w:pPr>
      <w:r>
        <w:rPr>
          <w:rFonts w:ascii="Times New Roman" w:hAnsi="Times New Roman" w:cs="Times New Roman"/>
          <w:b w:val="false"/>
          <w:bCs w:val="false"/>
          <w:color w:val="000000"/>
          <w:kern w:val="0"/>
          <w:sz w:val="32"/>
          <w:szCs w:val="32"/>
          <w:lang w:val="en-US" w:eastAsia="zh-CN"/>
        </w:rPr>
        <w:t>合同编号：</w:t>
      </w:r>
      <w:r>
        <w:rPr>
          <w:rFonts w:ascii="Times New Roman" w:hAnsi="Times New Roman" w:cs="Times New Roman" w:eastAsia="Times New Roman"/>
          <w:b w:val="false"/>
          <w:bCs w:val="false"/>
          <w:color w:val="000000"/>
          <w:kern w:val="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false"/>
        <w:bidi w:val="0"/>
        <w:snapToGrid w:val="true"/>
        <w:ind w:firstLine="1280" w:end="0"/>
        <w:textAlignment w:val="auto"/>
        <w:rPr>
          <w:rFonts w:ascii="Times New Roman" w:hAnsi="Times New Roman" w:cs="Times New Roman"/>
          <w:b w:val="false"/>
          <w:bCs w:val="false"/>
          <w:color w:val="000000"/>
          <w:kern w:val="0"/>
          <w:sz w:val="30"/>
          <w:szCs w:val="30"/>
          <w:highlight w:val="none"/>
          <w:lang w:val="en-US"/>
        </w:rPr>
      </w:pPr>
      <w:r>
        <w:rPr>
          <w:rFonts w:ascii="Times New Roman" w:hAnsi="Times New Roman" w:cs="Times New Roman"/>
          <w:b w:val="false"/>
          <w:bCs w:val="false"/>
          <w:color w:val="000000"/>
          <w:kern w:val="0"/>
          <w:sz w:val="32"/>
          <w:szCs w:val="32"/>
          <w:lang w:val="en-US" w:eastAsia="zh-CN"/>
        </w:rPr>
        <w:t>房屋编号：</w:t>
      </w:r>
      <w:r>
        <w:rPr>
          <w:rFonts w:ascii="Times New Roman" w:hAnsi="Times New Roman" w:cs="Times New Roman" w:eastAsia="Times New Roman"/>
          <w:b w:val="false"/>
          <w:bCs w:val="false"/>
          <w:color w:val="000000"/>
          <w:kern w:val="0"/>
          <w:sz w:val="32"/>
          <w:szCs w:val="32"/>
          <w:u w:val="single"/>
          <w:lang w:val="en-US" w:eastAsia="zh-CN"/>
        </w:rPr>
        <w:t xml:space="preserve">                             </w:t>
      </w:r>
    </w:p>
    <w:p>
      <w:pPr>
        <w:pStyle w:val="Normal"/>
        <w:autoSpaceDE w:val="false"/>
        <w:ind w:firstLine="1200" w:end="0"/>
        <w:rPr>
          <w:rFonts w:ascii="Times New Roman" w:hAnsi="Times New Roman" w:cs="Times New Roman"/>
          <w:b w:val="false"/>
          <w:bCs w:val="false"/>
          <w:color w:val="000000"/>
          <w:kern w:val="0"/>
          <w:sz w:val="30"/>
          <w:szCs w:val="30"/>
          <w:highlight w:val="none"/>
          <w:lang w:val="en-US"/>
        </w:rPr>
      </w:pPr>
      <w:r>
        <w:rPr>
          <w:rFonts w:cs="Times New Roman"/>
          <w:b w:val="false"/>
          <w:bCs w:val="false"/>
          <w:color w:val="000000"/>
          <w:kern w:val="0"/>
          <w:sz w:val="30"/>
          <w:szCs w:val="30"/>
          <w:lang w:val="en-US"/>
        </w:rPr>
      </w:r>
    </w:p>
    <w:p>
      <w:pPr>
        <w:pStyle w:val="Normal"/>
        <w:autoSpaceDE w:val="false"/>
        <w:ind w:firstLine="2240" w:end="0"/>
        <w:rPr>
          <w:rFonts w:ascii="Times New Roman" w:hAnsi="Times New Roman" w:cs="Times New Roman"/>
          <w:color w:val="000000"/>
          <w:kern w:val="0"/>
          <w:sz w:val="32"/>
          <w:szCs w:val="32"/>
          <w:highlight w:val="none"/>
          <w:u w:val="single"/>
          <w:lang w:val="en-US" w:eastAsia="zh-CN"/>
        </w:rPr>
      </w:pPr>
      <w:r>
        <w:rPr>
          <w:rFonts w:cs="Times New Roman"/>
          <w:color w:val="000000"/>
          <w:kern w:val="0"/>
          <w:sz w:val="32"/>
          <w:szCs w:val="32"/>
          <w:u w:val="single"/>
          <w:lang w:val="en-US" w:eastAsia="zh-CN"/>
        </w:rPr>
      </w:r>
    </w:p>
    <w:p>
      <w:pPr>
        <w:pStyle w:val="Style16"/>
        <w:rPr>
          <w:rFonts w:ascii="Times New Roman" w:hAnsi="Times New Roman" w:cs="Times New Roman"/>
          <w:color w:val="000000"/>
          <w:kern w:val="0"/>
          <w:sz w:val="30"/>
          <w:szCs w:val="30"/>
          <w:highlight w:val="none"/>
          <w:u w:val="single"/>
          <w:lang w:val="en-US" w:eastAsia="zh-CN"/>
        </w:rPr>
      </w:pPr>
      <w:r>
        <w:rPr>
          <w:rFonts w:cs="Times New Roman"/>
          <w:color w:val="000000"/>
          <w:kern w:val="0"/>
          <w:sz w:val="30"/>
          <w:szCs w:val="30"/>
          <w:u w:val="single"/>
          <w:lang w:val="en-US" w:eastAsia="zh-CN"/>
        </w:rPr>
      </w:r>
    </w:p>
    <w:p>
      <w:pPr>
        <w:pStyle w:val="Normal"/>
        <w:autoSpaceDE w:val="false"/>
        <w:rPr>
          <w:rFonts w:ascii="Times New Roman" w:hAnsi="Times New Roman" w:cs="Times New Roman"/>
          <w:color w:val="000000"/>
          <w:kern w:val="0"/>
          <w:sz w:val="30"/>
          <w:szCs w:val="30"/>
          <w:highlight w:val="none"/>
        </w:rPr>
      </w:pPr>
      <w:r>
        <w:rPr>
          <w:rFonts w:cs="Times New Roman"/>
          <w:color w:val="000000"/>
          <w:kern w:val="0"/>
          <w:sz w:val="30"/>
          <w:szCs w:val="30"/>
        </w:rPr>
      </w:r>
    </w:p>
    <w:p>
      <w:pPr>
        <w:pStyle w:val="Style16"/>
        <w:rPr>
          <w:rFonts w:ascii="Times New Roman" w:hAnsi="Times New Roman" w:cs="Times New Roman"/>
          <w:color w:val="000000"/>
          <w:kern w:val="0"/>
          <w:sz w:val="30"/>
          <w:szCs w:val="30"/>
          <w:highlight w:val="none"/>
        </w:rPr>
      </w:pPr>
      <w:r>
        <w:rPr>
          <w:rFonts w:cs="Times New Roman"/>
          <w:color w:val="000000"/>
          <w:kern w:val="0"/>
          <w:sz w:val="30"/>
          <w:szCs w:val="30"/>
        </w:rPr>
      </w:r>
    </w:p>
    <w:p>
      <w:pPr>
        <w:pStyle w:val="Style16"/>
        <w:rPr>
          <w:rFonts w:ascii="Times New Roman" w:hAnsi="Times New Roman" w:cs="Times New Roman"/>
          <w:color w:val="000000"/>
          <w:kern w:val="0"/>
          <w:sz w:val="30"/>
          <w:szCs w:val="30"/>
          <w:highlight w:val="none"/>
        </w:rPr>
      </w:pPr>
      <w:r>
        <w:rPr>
          <w:rFonts w:cs="Times New Roman"/>
          <w:color w:val="000000"/>
          <w:kern w:val="0"/>
          <w:sz w:val="30"/>
          <w:szCs w:val="30"/>
        </w:rPr>
      </w:r>
    </w:p>
    <w:p>
      <w:pPr>
        <w:pStyle w:val="Style16"/>
        <w:rPr>
          <w:rFonts w:ascii="Times New Roman" w:hAnsi="Times New Roman" w:cs="Times New Roman"/>
          <w:color w:val="000000"/>
          <w:kern w:val="0"/>
          <w:sz w:val="30"/>
          <w:szCs w:val="30"/>
          <w:highlight w:val="none"/>
        </w:rPr>
      </w:pPr>
      <w:r>
        <w:rPr>
          <w:rFonts w:cs="Times New Roman"/>
          <w:color w:val="000000"/>
          <w:kern w:val="0"/>
          <w:sz w:val="30"/>
          <w:szCs w:val="30"/>
        </w:rPr>
      </w:r>
    </w:p>
    <w:p>
      <w:pPr>
        <w:pStyle w:val="Normal"/>
        <w:jc w:val="center"/>
        <w:rPr>
          <w:rFonts w:ascii="Times New Roman" w:hAnsi="Times New Roman" w:eastAsia="方正黑体_GBK;Arial Unicode MS" w:cs="Times New Roman"/>
          <w:spacing w:val="-20"/>
          <w:sz w:val="40"/>
          <w:szCs w:val="40"/>
          <w:highlight w:val="none"/>
          <w:u w:val="single"/>
          <w:lang w:val="en-US" w:eastAsia="zh-CN"/>
        </w:rPr>
      </w:pPr>
      <w:r>
        <w:rPr>
          <w:rFonts w:ascii="Times New Roman" w:hAnsi="Times New Roman" w:cs="Times New Roman" w:eastAsia="Times New Roman"/>
          <w:color w:val="000000"/>
          <w:spacing w:val="-20"/>
          <w:sz w:val="32"/>
          <w:szCs w:val="32"/>
          <w:u w:val="none"/>
          <w:lang w:val="en-US" w:eastAsia="zh-CN"/>
        </w:rPr>
        <w:t xml:space="preserve"> </w:t>
      </w:r>
      <w:r>
        <w:rPr>
          <w:rFonts w:eastAsia="兰米正黑体;黑体" w:cs="Times New Roman"/>
          <w:color w:val="000000"/>
          <w:spacing w:val="-20"/>
          <w:sz w:val="32"/>
          <w:szCs w:val="32"/>
          <w:u w:val="single"/>
          <w:lang w:val="en-US" w:eastAsia="zh-CN"/>
        </w:rPr>
        <w:t>2023-</w:t>
      </w:r>
      <w:r>
        <w:rPr>
          <w:rFonts w:eastAsia="兰米正黑体;黑体" w:cs="Times New Roman"/>
          <w:color w:val="000000"/>
          <w:spacing w:val="-20"/>
          <w:sz w:val="32"/>
          <w:szCs w:val="32"/>
          <w:u w:val="single"/>
          <w:lang w:val="en-US" w:eastAsia="zh-CN"/>
        </w:rPr>
        <w:t>04</w:t>
      </w:r>
      <w:r>
        <w:rPr>
          <w:rFonts w:eastAsia="兰米正黑体;黑体" w:cs="Times New Roman"/>
          <w:color w:val="000000"/>
          <w:spacing w:val="-20"/>
          <w:sz w:val="32"/>
          <w:szCs w:val="32"/>
          <w:u w:val="single"/>
          <w:lang w:val="en-US" w:eastAsia="zh-CN"/>
        </w:rPr>
        <w:t>-</w:t>
      </w:r>
      <w:r>
        <w:rPr>
          <w:rFonts w:eastAsia="兰米正黑体;黑体" w:cs="Times New Roman"/>
          <w:color w:val="000000"/>
          <w:spacing w:val="-20"/>
          <w:sz w:val="32"/>
          <w:szCs w:val="32"/>
          <w:u w:val="single"/>
          <w:lang w:val="en-US" w:eastAsia="zh-CN"/>
        </w:rPr>
        <w:t>28</w:t>
      </w:r>
      <w:r>
        <w:rPr>
          <w:rFonts w:ascii="Times New Roman" w:hAnsi="Times New Roman" w:cs="Times New Roman" w:eastAsia="兰米正黑体;黑体"/>
          <w:color w:val="000000"/>
          <w:spacing w:val="-20"/>
          <w:sz w:val="32"/>
          <w:szCs w:val="32"/>
          <w:u w:val="single"/>
          <w:lang w:val="en-US" w:eastAsia="zh-CN"/>
        </w:rPr>
        <w:t>发布</w:t>
      </w:r>
      <w:r>
        <w:rPr>
          <w:rFonts w:ascii="Times New Roman" w:hAnsi="Times New Roman" w:cs="Times New Roman" w:eastAsia="Times New Roman"/>
          <w:color w:val="000000"/>
          <w:spacing w:val="-20"/>
          <w:sz w:val="32"/>
          <w:szCs w:val="32"/>
          <w:u w:val="single"/>
          <w:lang w:val="en-US" w:eastAsia="zh-CN"/>
        </w:rPr>
        <w:t xml:space="preserve">                    </w:t>
      </w:r>
      <w:r>
        <w:rPr>
          <w:rFonts w:ascii="Times New Roman" w:hAnsi="Times New Roman" w:cs="Times New Roman" w:eastAsia="Times New Roman"/>
          <w:color w:val="000000"/>
          <w:spacing w:val="-20"/>
          <w:sz w:val="32"/>
          <w:szCs w:val="32"/>
          <w:u w:val="single"/>
          <w:lang w:eastAsia="zh-CN"/>
        </w:rPr>
        <w:t xml:space="preserve">   </w:t>
      </w:r>
      <w:r>
        <w:rPr>
          <w:rFonts w:ascii="Times New Roman" w:hAnsi="Times New Roman" w:cs="Times New Roman" w:eastAsia="Times New Roman"/>
          <w:color w:val="000000"/>
          <w:spacing w:val="-20"/>
          <w:sz w:val="32"/>
          <w:szCs w:val="32"/>
          <w:u w:val="single"/>
          <w:lang w:val="en-US" w:eastAsia="zh-CN"/>
        </w:rPr>
        <w:t xml:space="preserve"> </w:t>
      </w:r>
      <w:r>
        <w:rPr>
          <w:rFonts w:eastAsia="兰米正黑体;黑体" w:cs="Times New Roman"/>
          <w:color w:val="000000"/>
          <w:spacing w:val="-20"/>
          <w:sz w:val="32"/>
          <w:szCs w:val="32"/>
          <w:u w:val="single"/>
          <w:lang w:val="en-US" w:eastAsia="zh-CN"/>
        </w:rPr>
        <w:t>2023-0</w:t>
      </w:r>
      <w:r>
        <w:rPr>
          <w:rFonts w:eastAsia="兰米正黑体;黑体" w:cs="Times New Roman"/>
          <w:color w:val="000000"/>
          <w:spacing w:val="-20"/>
          <w:sz w:val="32"/>
          <w:szCs w:val="32"/>
          <w:u w:val="single"/>
          <w:lang w:val="en-US" w:eastAsia="zh-CN"/>
        </w:rPr>
        <w:t>7</w:t>
      </w:r>
      <w:r>
        <w:rPr>
          <w:rFonts w:eastAsia="兰米正黑体;黑体" w:cs="Times New Roman"/>
          <w:color w:val="000000"/>
          <w:spacing w:val="-20"/>
          <w:sz w:val="32"/>
          <w:szCs w:val="32"/>
          <w:u w:val="single"/>
          <w:lang w:val="en-US" w:eastAsia="zh-CN"/>
        </w:rPr>
        <w:t>-</w:t>
      </w:r>
      <w:r>
        <w:rPr>
          <w:rFonts w:eastAsia="兰米正黑体;黑体" w:cs="Times New Roman"/>
          <w:color w:val="000000"/>
          <w:spacing w:val="-20"/>
          <w:sz w:val="32"/>
          <w:szCs w:val="32"/>
          <w:u w:val="single"/>
          <w:lang w:val="en-US" w:eastAsia="zh-CN"/>
        </w:rPr>
        <w:t>01</w:t>
      </w:r>
      <w:r>
        <w:rPr>
          <w:rFonts w:eastAsia="兰米正黑体;黑体" w:cs="Times New Roman"/>
          <w:color w:val="000000"/>
          <w:spacing w:val="-20"/>
          <w:sz w:val="32"/>
          <w:szCs w:val="32"/>
          <w:u w:val="single"/>
          <w:lang w:val="en-US" w:eastAsia="zh-CN"/>
        </w:rPr>
        <w:t xml:space="preserve"> </w:t>
      </w:r>
      <w:r>
        <w:rPr>
          <w:rFonts w:ascii="Times New Roman" w:hAnsi="Times New Roman" w:cs="Times New Roman" w:eastAsia="兰米正黑体;黑体"/>
          <w:color w:val="000000"/>
          <w:spacing w:val="-20"/>
          <w:sz w:val="32"/>
          <w:szCs w:val="32"/>
          <w:u w:val="single"/>
          <w:lang w:val="en-US" w:eastAsia="zh-CN"/>
        </w:rPr>
        <w:t>施行</w:t>
      </w:r>
      <w:r>
        <w:rPr>
          <w:rFonts w:ascii="Times New Roman" w:hAnsi="Times New Roman" w:cs="Times New Roman" w:eastAsia="Times New Roman"/>
          <w:color w:val="000000"/>
          <w:spacing w:val="-20"/>
          <w:sz w:val="32"/>
          <w:szCs w:val="32"/>
          <w:u w:val="single"/>
          <w:lang w:val="en-US" w:eastAsia="zh-CN"/>
        </w:rPr>
        <w:t xml:space="preserve">  </w:t>
      </w:r>
      <w:r>
        <w:rPr>
          <w:rFonts w:ascii="Times New Roman" w:hAnsi="Times New Roman" w:cs="Times New Roman" w:eastAsia="Times New Roman"/>
          <w:color w:val="000000"/>
          <w:spacing w:val="-20"/>
          <w:sz w:val="44"/>
          <w:szCs w:val="44"/>
          <w:u w:val="single"/>
          <w:lang w:val="en-US" w:eastAsia="zh-CN"/>
        </w:rPr>
        <w:t xml:space="preserve">  </w:t>
      </w:r>
      <w:r>
        <w:rPr>
          <w:rFonts w:ascii="Times New Roman" w:hAnsi="Times New Roman" w:cs="Times New Roman" w:eastAsia="Times New Roman"/>
          <w:spacing w:val="-20"/>
          <w:sz w:val="28"/>
          <w:szCs w:val="28"/>
          <w:u w:val="single"/>
          <w:lang w:val="en-US" w:eastAsia="zh-CN"/>
        </w:rPr>
        <w:t xml:space="preserve"> </w:t>
      </w:r>
    </w:p>
    <w:p>
      <w:pPr>
        <w:pStyle w:val="Normal"/>
        <w:jc w:val="start"/>
        <w:rPr>
          <w:rFonts w:ascii="Times New Roman" w:hAnsi="Times New Roman" w:eastAsia="方正黑体_GBK;Arial Unicode MS" w:cs="Times New Roman"/>
          <w:spacing w:val="-20"/>
          <w:sz w:val="32"/>
          <w:szCs w:val="32"/>
          <w:highlight w:val="none"/>
          <w:u w:val="single"/>
          <w:lang w:val="en-US" w:eastAsia="zh-CN"/>
        </w:rPr>
      </w:pPr>
      <w:r>
        <w:rPr>
          <w:rFonts w:eastAsia="方正黑体_GBK;Arial Unicode MS" w:cs="Times New Roman"/>
          <w:spacing w:val="-20"/>
          <w:sz w:val="32"/>
          <w:szCs w:val="32"/>
          <w:u w:val="single"/>
          <w:lang w:val="en-US" w:eastAsia="zh-CN"/>
        </w:rPr>
      </w:r>
    </w:p>
    <w:p>
      <w:pPr>
        <w:pStyle w:val="Normal"/>
        <w:jc w:val="center"/>
        <w:rPr>
          <w:rFonts w:ascii="Times New Roman" w:hAnsi="Times New Roman" w:eastAsia="方正黑体_GBK;Arial Unicode MS" w:cs="Times New Roman"/>
          <w:sz w:val="32"/>
          <w:szCs w:val="32"/>
          <w:highlight w:val="none"/>
        </w:rPr>
      </w:pPr>
      <w:r>
        <w:rPr>
          <w:rFonts w:ascii="Times New Roman" w:hAnsi="Times New Roman" w:cs="Times New Roman" w:eastAsia="方正黑体_GBK;Arial Unicode MS"/>
          <w:sz w:val="32"/>
          <w:szCs w:val="32"/>
        </w:rPr>
        <w:t>浙江省</w:t>
      </w:r>
      <w:r>
        <w:rPr>
          <w:rFonts w:ascii="Times New Roman" w:hAnsi="Times New Roman" w:cs="Times New Roman" w:eastAsia="方正黑体_GBK;Arial Unicode MS"/>
          <w:sz w:val="32"/>
          <w:szCs w:val="32"/>
          <w:lang w:val="en-US" w:eastAsia="zh-CN"/>
        </w:rPr>
        <w:t>住房和城乡建设</w:t>
      </w:r>
      <w:r>
        <w:rPr>
          <w:rFonts w:ascii="Times New Roman" w:hAnsi="Times New Roman" w:cs="Times New Roman" w:eastAsia="方正黑体_GBK;Arial Unicode MS"/>
          <w:sz w:val="32"/>
          <w:szCs w:val="32"/>
        </w:rPr>
        <w:t>厅</w:t>
      </w:r>
    </w:p>
    <w:p>
      <w:pPr>
        <w:sectPr>
          <w:type w:val="nextPage"/>
          <w:pgSz w:w="11906" w:h="16838"/>
          <w:pgMar w:left="1418" w:right="1418" w:gutter="0" w:header="0" w:top="1531" w:footer="0" w:bottom="1588"/>
          <w:pgNumType w:fmt="decimal"/>
          <w:formProt w:val="false"/>
          <w:titlePg/>
          <w:textDirection w:val="lrTb"/>
          <w:docGrid w:type="lines" w:linePitch="311" w:charSpace="0"/>
        </w:sectPr>
        <w:pStyle w:val="Normal"/>
        <w:jc w:val="center"/>
        <w:rPr>
          <w:rFonts w:ascii="Times New Roman" w:hAnsi="Times New Roman" w:cs="Times New Roman"/>
          <w:highlight w:val="none"/>
        </w:rPr>
      </w:pPr>
      <w:r>
        <w:rPr>
          <w:rFonts w:ascii="Times New Roman" w:hAnsi="Times New Roman" w:cs="Times New Roman" w:eastAsia="方正黑体_GBK;Arial Unicode MS"/>
          <w:sz w:val="32"/>
          <w:szCs w:val="32"/>
        </w:rPr>
        <w:t>浙江省市场监督管理局</w:t>
      </w:r>
    </w:p>
    <w:p>
      <w:pPr>
        <w:pStyle w:val="Normal"/>
        <w:autoSpaceDE w:val="false"/>
        <w:jc w:val="center"/>
        <w:rPr>
          <w:rFonts w:ascii="Times New Roman" w:hAnsi="Times New Roman" w:eastAsia="方正小标宋简体" w:cs="Times New Roman"/>
          <w:color w:val="000000"/>
          <w:kern w:val="0"/>
          <w:sz w:val="44"/>
          <w:szCs w:val="44"/>
          <w:highlight w:val="none"/>
        </w:rPr>
      </w:pPr>
      <w:r>
        <w:rPr>
          <w:rFonts w:ascii="Times New Roman" w:hAnsi="Times New Roman" w:cs="Times New Roman" w:eastAsia="方正小标宋简体"/>
          <w:color w:val="000000"/>
          <w:kern w:val="0"/>
          <w:sz w:val="44"/>
          <w:szCs w:val="44"/>
        </w:rPr>
        <w:t>目</w:t>
      </w:r>
      <w:r>
        <w:rPr>
          <w:rFonts w:ascii="Times New Roman" w:hAnsi="Times New Roman" w:cs="Times New Roman" w:eastAsia="Times New Roman"/>
          <w:color w:val="000000"/>
          <w:kern w:val="0"/>
          <w:sz w:val="44"/>
          <w:szCs w:val="44"/>
        </w:rPr>
        <w:t xml:space="preserve">  </w:t>
      </w:r>
      <w:r>
        <w:rPr>
          <w:rFonts w:ascii="Times New Roman" w:hAnsi="Times New Roman" w:cs="Times New Roman" w:eastAsia="方正小标宋简体"/>
          <w:color w:val="000000"/>
          <w:kern w:val="0"/>
          <w:sz w:val="44"/>
          <w:szCs w:val="44"/>
        </w:rPr>
        <w:t>录</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说  明</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专业术语解释</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第一章 合同当事人</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第二章 商品房基本状况</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第三章 商品房价款</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第四章 商品房交付条件与交付手续</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第五章 商品房质量及保修责任</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第六章 房屋交易、不动产登记</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方正仿宋_GB2312" w:hAnsi="方正仿宋_GB2312;方正仿宋_GB2312" w:eastAsia="方正仿宋_GB2312;方正仿宋_GB2312" w:cs="方正仿宋_GB2312;方正仿宋_GB2312"/>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第七章 物业管理</w:t>
      </w:r>
    </w:p>
    <w:p>
      <w:pPr>
        <w:sectPr>
          <w:footerReference w:type="default" r:id="rId2"/>
          <w:type w:val="nextPage"/>
          <w:pgSz w:w="11906" w:h="16838"/>
          <w:pgMar w:left="1418" w:right="1418" w:gutter="0" w:header="0" w:top="1531" w:footer="1134" w:bottom="1588"/>
          <w:pgNumType w:start="2" w:fmt="decimal"/>
          <w:formProt w:val="false"/>
          <w:textDirection w:val="lrTb"/>
          <w:docGrid w:type="lines" w:linePitch="311" w:charSpace="0"/>
        </w:sect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Times New Roman" w:hAnsi="Times New Roman" w:cs="Times New Roman"/>
          <w:color w:val="000000"/>
          <w:kern w:val="0"/>
          <w:sz w:val="28"/>
          <w:szCs w:val="28"/>
          <w:highlight w:val="none"/>
        </w:rPr>
      </w:pPr>
      <w:r>
        <w:rPr>
          <w:rFonts w:ascii="方正仿宋_GB2312;方正仿宋_GB2312" w:hAnsi="方正仿宋_GB2312;方正仿宋_GB2312" w:cs="方正仿宋_GB2312;方正仿宋_GB2312" w:eastAsia="方正仿宋_GB2312;方正仿宋_GB2312"/>
          <w:color w:val="000000"/>
          <w:kern w:val="0"/>
          <w:sz w:val="28"/>
          <w:szCs w:val="28"/>
        </w:rPr>
        <w:t>第八章 其他事项</w:t>
      </w:r>
      <w:r>
        <w:br w:type="page"/>
      </w:r>
    </w:p>
    <w:p>
      <w:pPr>
        <w:pStyle w:val="Normal"/>
        <w:keepNext w:val="false"/>
        <w:keepLines w:val="false"/>
        <w:pageBreakBefore w:val="false"/>
        <w:widowControl w:val="false"/>
        <w:kinsoku w:val="true"/>
        <w:overflowPunct w:val="true"/>
        <w:autoSpaceDE w:val="false"/>
        <w:bidi w:val="0"/>
        <w:snapToGrid w:val="true"/>
        <w:spacing w:lineRule="auto" w:line="240"/>
        <w:jc w:val="center"/>
        <w:textAlignment w:val="auto"/>
        <w:rPr>
          <w:rFonts w:ascii="Times New Roman" w:hAnsi="Times New Roman" w:eastAsia="方正小标宋简体" w:cs="Times New Roman"/>
          <w:color w:val="000000"/>
          <w:kern w:val="0"/>
          <w:sz w:val="44"/>
          <w:szCs w:val="44"/>
          <w:highlight w:val="none"/>
        </w:rPr>
      </w:pPr>
      <w:r>
        <w:rPr>
          <w:rFonts w:ascii="Times New Roman" w:hAnsi="Times New Roman" w:cs="Times New Roman" w:eastAsia="方正小标宋简体"/>
          <w:color w:val="000000"/>
          <w:kern w:val="0"/>
          <w:sz w:val="44"/>
          <w:szCs w:val="44"/>
        </w:rPr>
        <w:t>说</w:t>
      </w:r>
      <w:r>
        <w:rPr>
          <w:rFonts w:ascii="Times New Roman" w:hAnsi="Times New Roman" w:cs="Times New Roman" w:eastAsia="Times New Roman"/>
          <w:color w:val="000000"/>
          <w:kern w:val="0"/>
          <w:sz w:val="44"/>
          <w:szCs w:val="44"/>
        </w:rPr>
        <w:t xml:space="preserve">  </w:t>
      </w:r>
      <w:r>
        <w:rPr>
          <w:rFonts w:ascii="Times New Roman" w:hAnsi="Times New Roman" w:cs="Times New Roman" w:eastAsia="方正小标宋简体"/>
          <w:color w:val="000000"/>
          <w:kern w:val="0"/>
          <w:sz w:val="44"/>
          <w:szCs w:val="44"/>
        </w:rPr>
        <w:t>明</w:t>
      </w:r>
    </w:p>
    <w:p>
      <w:pPr>
        <w:pStyle w:val="Normal"/>
        <w:keepNext w:val="false"/>
        <w:keepLines w:val="false"/>
        <w:pageBreakBefore w:val="false"/>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lang w:val="en-US" w:eastAsia="zh-CN"/>
        </w:rPr>
      </w:pP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为了明确商品房消费者（买受人）和经营者（出卖人）等相关方的权利义务，维护各相关方的合法权益，根据《中华人民共和国民法典》《中华人民共和国城市房地产管理法》等法律、法规的规定，结合浙江省房地产行业发展实际制定《浙江省商品房买卖合同示范文本（现售）》（以下简称本《合同示范文本》）。</w:t>
      </w:r>
    </w:p>
    <w:p>
      <w:pPr>
        <w:pStyle w:val="Normal"/>
        <w:keepNext w:val="false"/>
        <w:keepLines w:val="false"/>
        <w:pageBreakBefore w:val="false"/>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本</w:t>
      </w:r>
      <w:r>
        <w:rPr>
          <w:rFonts w:ascii="方正仿宋_GB2312;方正仿宋_GB2312" w:hAnsi="方正仿宋_GB2312;方正仿宋_GB2312" w:cs="方正仿宋_GB2312;方正仿宋_GB2312" w:eastAsia="方正仿宋_GB2312;方正仿宋_GB2312"/>
          <w:color w:val="000000"/>
          <w:spacing w:val="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spacing w:val="0"/>
          <w:kern w:val="0"/>
          <w:sz w:val="24"/>
          <w:szCs w:val="24"/>
        </w:rPr>
        <w:t>合同</w:t>
      </w:r>
      <w:r>
        <w:rPr>
          <w:rFonts w:ascii="方正仿宋_GB2312;方正仿宋_GB2312" w:hAnsi="方正仿宋_GB2312;方正仿宋_GB2312" w:cs="方正仿宋_GB2312;方正仿宋_GB2312" w:eastAsia="方正仿宋_GB2312;方正仿宋_GB2312"/>
          <w:color w:val="000000"/>
          <w:spacing w:val="0"/>
          <w:kern w:val="0"/>
          <w:sz w:val="24"/>
          <w:szCs w:val="24"/>
          <w:lang w:eastAsia="zh-CN"/>
        </w:rPr>
        <w:t>示范文本》</w:t>
      </w:r>
      <w:r>
        <w:rPr>
          <w:rFonts w:ascii="方正仿宋_GB2312;方正仿宋_GB2312" w:hAnsi="方正仿宋_GB2312;方正仿宋_GB2312" w:cs="方正仿宋_GB2312;方正仿宋_GB2312" w:eastAsia="方正仿宋_GB2312;方正仿宋_GB2312"/>
          <w:color w:val="000000"/>
          <w:kern w:val="0"/>
          <w:sz w:val="24"/>
          <w:szCs w:val="24"/>
        </w:rPr>
        <w:t>由浙江省住房和城乡建设厅在国家版（</w:t>
      </w:r>
      <w:r>
        <w:rPr>
          <w:rFonts w:eastAsia="方正仿宋_GB2312;方正仿宋_GB2312" w:cs="方正仿宋_GB2312;方正仿宋_GB2312" w:ascii="方正仿宋_GB2312;方正仿宋_GB2312" w:hAnsi="方正仿宋_GB2312;方正仿宋_GB2312"/>
          <w:color w:val="000000"/>
          <w:kern w:val="0"/>
          <w:sz w:val="24"/>
          <w:szCs w:val="24"/>
        </w:rPr>
        <w:t>2014</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eastAsia="方正仿宋_GB2312;方正仿宋_GB2312" w:cs="方正仿宋_GB2312;方正仿宋_GB2312" w:ascii="方正仿宋_GB2312;方正仿宋_GB2312" w:hAnsi="方正仿宋_GB2312;方正仿宋_GB2312"/>
          <w:color w:val="000000"/>
          <w:kern w:val="0"/>
          <w:sz w:val="24"/>
          <w:szCs w:val="24"/>
        </w:rPr>
        <w:t>GF-2014</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p>
    <w:p>
      <w:pPr>
        <w:pStyle w:val="Normal"/>
        <w:keepNext w:val="false"/>
        <w:keepLines w:val="false"/>
        <w:pageBreakBefore w:val="false"/>
        <w:numPr>
          <w:ilvl w:val="0"/>
          <w:numId w:val="0"/>
        </w:numPr>
        <w:kinsoku w:val="true"/>
        <w:overflowPunct w:val="true"/>
        <w:autoSpaceDE w:val="false"/>
        <w:bidi w:val="0"/>
        <w:snapToGrid w:val="true"/>
        <w:spacing w:lineRule="exact" w:line="400"/>
        <w:ind w:hanging="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0171</w:t>
      </w:r>
      <w:r>
        <w:rPr>
          <w:rFonts w:ascii="方正仿宋_GB2312;方正仿宋_GB2312" w:hAnsi="方正仿宋_GB2312;方正仿宋_GB2312" w:cs="方正仿宋_GB2312;方正仿宋_GB2312" w:eastAsia="方正仿宋_GB2312;方正仿宋_GB2312"/>
          <w:color w:val="000000"/>
          <w:kern w:val="0"/>
          <w:sz w:val="24"/>
          <w:szCs w:val="24"/>
        </w:rPr>
        <w:t>）的基础上根据</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浙江</w:t>
      </w:r>
      <w:r>
        <w:rPr>
          <w:rFonts w:ascii="方正仿宋_GB2312;方正仿宋_GB2312" w:hAnsi="方正仿宋_GB2312;方正仿宋_GB2312" w:cs="方正仿宋_GB2312;方正仿宋_GB2312" w:eastAsia="方正仿宋_GB2312;方正仿宋_GB2312"/>
          <w:color w:val="000000"/>
          <w:kern w:val="0"/>
          <w:sz w:val="24"/>
          <w:szCs w:val="24"/>
        </w:rPr>
        <w:t>省实际情况制定</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浙江省住房和城乡建设厅、</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浙江省市场</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监督管理</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局共同发布</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keepNext w:val="false"/>
        <w:keepLines w:val="false"/>
        <w:pageBreakBefore w:val="false"/>
        <w:widowControl/>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spacing w:val="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spacing w:val="0"/>
          <w:kern w:val="0"/>
          <w:sz w:val="24"/>
          <w:szCs w:val="24"/>
          <w:lang w:eastAsia="zh-CN"/>
        </w:rPr>
        <w:t>本《</w:t>
      </w:r>
      <w:r>
        <w:rPr>
          <w:rFonts w:ascii="方正仿宋_GB2312;方正仿宋_GB2312" w:hAnsi="方正仿宋_GB2312;方正仿宋_GB2312" w:cs="方正仿宋_GB2312;方正仿宋_GB2312" w:eastAsia="方正仿宋_GB2312;方正仿宋_GB2312"/>
          <w:color w:val="000000"/>
          <w:spacing w:val="0"/>
          <w:kern w:val="0"/>
          <w:sz w:val="24"/>
          <w:szCs w:val="24"/>
        </w:rPr>
        <w:t>合同</w:t>
      </w:r>
      <w:r>
        <w:rPr>
          <w:rFonts w:ascii="方正仿宋_GB2312;方正仿宋_GB2312" w:hAnsi="方正仿宋_GB2312;方正仿宋_GB2312" w:cs="方正仿宋_GB2312;方正仿宋_GB2312" w:eastAsia="方正仿宋_GB2312;方正仿宋_GB2312"/>
          <w:color w:val="000000"/>
          <w:spacing w:val="0"/>
          <w:kern w:val="0"/>
          <w:sz w:val="24"/>
          <w:szCs w:val="24"/>
          <w:lang w:eastAsia="zh-CN"/>
        </w:rPr>
        <w:t>示范文本》由</w:t>
      </w:r>
      <w:r>
        <w:rPr>
          <w:rFonts w:ascii="方正仿宋_GB2312;方正仿宋_GB2312" w:hAnsi="方正仿宋_GB2312;方正仿宋_GB2312" w:cs="方正仿宋_GB2312;方正仿宋_GB2312" w:eastAsia="方正仿宋_GB2312;方正仿宋_GB2312"/>
          <w:color w:val="000000"/>
          <w:kern w:val="0"/>
          <w:sz w:val="24"/>
          <w:szCs w:val="24"/>
        </w:rPr>
        <w:t>浙江省住房和城乡建设厅</w:t>
      </w:r>
      <w:r>
        <w:rPr>
          <w:rFonts w:ascii="方正仿宋_GB2312;方正仿宋_GB2312" w:hAnsi="方正仿宋_GB2312;方正仿宋_GB2312" w:cs="方正仿宋_GB2312;方正仿宋_GB2312" w:eastAsia="方正仿宋_GB2312;方正仿宋_GB2312"/>
          <w:color w:val="000000"/>
          <w:spacing w:val="0"/>
          <w:kern w:val="0"/>
          <w:sz w:val="24"/>
          <w:szCs w:val="24"/>
          <w:lang w:eastAsia="zh-CN"/>
        </w:rPr>
        <w:t>负责解释，但</w:t>
      </w:r>
      <w:r>
        <w:rPr>
          <w:rFonts w:ascii="方正仿宋_GB2312;方正仿宋_GB2312" w:hAnsi="方正仿宋_GB2312;方正仿宋_GB2312" w:cs="方正仿宋_GB2312;方正仿宋_GB2312" w:eastAsia="方正仿宋_GB2312;方正仿宋_GB2312"/>
          <w:color w:val="000000"/>
          <w:spacing w:val="0"/>
          <w:kern w:val="0"/>
          <w:sz w:val="24"/>
          <w:szCs w:val="24"/>
        </w:rPr>
        <w:t>不负责对已订立的合同内容进行解释。</w:t>
      </w:r>
    </w:p>
    <w:p>
      <w:pPr>
        <w:pStyle w:val="Normal"/>
        <w:keepNext w:val="false"/>
        <w:keepLines w:val="false"/>
        <w:pageBreakBefore w:val="false"/>
        <w:widowControl/>
        <w:numPr>
          <w:ilvl w:val="0"/>
          <w:numId w:val="6"/>
        </w:numPr>
        <w:suppressLineNumbers w:val="0"/>
        <w:kinsoku w:val="true"/>
        <w:overflowPunct w:val="true"/>
        <w:bidi w:val="0"/>
        <w:snapToGrid w:val="true"/>
        <w:spacing w:lineRule="exact" w:line="400"/>
        <w:ind w:firstLine="472" w:start="0" w:end="0"/>
        <w:jc w:val="start"/>
        <w:textAlignment w:val="auto"/>
        <w:rPr>
          <w:rFonts w:ascii="方正仿宋_GB2312;方正仿宋_GB2312" w:hAnsi="方正仿宋_GB2312;方正仿宋_GB2312" w:eastAsia="方正仿宋_GB2312;方正仿宋_GB2312" w:cs="方正仿宋_GB2312;方正仿宋_GB2312"/>
          <w:i w:val="false"/>
          <w:i w:val="false"/>
          <w:caps w:val="false"/>
          <w:smallCaps w:val="false"/>
          <w:color w:val="000000"/>
          <w:spacing w:val="-2"/>
          <w:kern w:val="2"/>
          <w:sz w:val="24"/>
          <w:szCs w:val="24"/>
          <w:highlight w:val="none"/>
          <w:shd w:fill="auto" w:val="clear"/>
          <w:lang w:val="en-US" w:eastAsia="zh-CN" w:bidi="ar"/>
        </w:rPr>
      </w:pP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本《</w:t>
      </w:r>
      <w:r>
        <w:rPr>
          <w:rFonts w:ascii="方正仿宋_GB2312;方正仿宋_GB2312" w:hAnsi="方正仿宋_GB2312;方正仿宋_GB2312" w:cs="方正仿宋_GB2312;方正仿宋_GB2312" w:eastAsia="方正仿宋_GB2312;方正仿宋_GB2312"/>
          <w:color w:val="000000"/>
          <w:spacing w:val="-2"/>
          <w:sz w:val="24"/>
          <w:szCs w:val="24"/>
        </w:rPr>
        <w:t>合同</w:t>
      </w: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示范文本》</w:t>
      </w:r>
      <w:r>
        <w:rPr>
          <w:rFonts w:ascii="方正仿宋_GB2312;方正仿宋_GB2312" w:hAnsi="方正仿宋_GB2312;方正仿宋_GB2312" w:cs="方正仿宋_GB2312;方正仿宋_GB2312" w:eastAsia="方正仿宋_GB2312;方正仿宋_GB2312"/>
          <w:color w:val="000000"/>
          <w:spacing w:val="0"/>
          <w:kern w:val="0"/>
          <w:sz w:val="24"/>
          <w:szCs w:val="24"/>
          <w:lang w:eastAsia="zh-CN"/>
        </w:rPr>
        <w:t>供</w:t>
      </w:r>
      <w:r>
        <w:rPr>
          <w:rFonts w:ascii="方正仿宋_GB2312;方正仿宋_GB2312" w:hAnsi="方正仿宋_GB2312;方正仿宋_GB2312" w:cs="方正仿宋_GB2312;方正仿宋_GB2312" w:eastAsia="方正仿宋_GB2312;方正仿宋_GB2312"/>
          <w:color w:val="000000"/>
          <w:spacing w:val="0"/>
          <w:kern w:val="0"/>
          <w:sz w:val="24"/>
          <w:szCs w:val="24"/>
          <w:lang w:val="en-US" w:eastAsia="zh-CN"/>
        </w:rPr>
        <w:t>商品房买卖标的物在</w:t>
      </w:r>
      <w:r>
        <w:rPr>
          <w:rFonts w:ascii="方正仿宋_GB2312;方正仿宋_GB2312" w:hAnsi="方正仿宋_GB2312;方正仿宋_GB2312" w:cs="方正仿宋_GB2312;方正仿宋_GB2312" w:eastAsia="方正仿宋_GB2312;方正仿宋_GB2312"/>
          <w:color w:val="000000"/>
          <w:kern w:val="0"/>
          <w:sz w:val="24"/>
          <w:szCs w:val="24"/>
        </w:rPr>
        <w:t>浙江省行政区域内</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的买卖当</w:t>
      </w:r>
      <w:r>
        <w:rPr>
          <w:rFonts w:ascii="方正仿宋_GB2312;方正仿宋_GB2312" w:hAnsi="方正仿宋_GB2312;方正仿宋_GB2312" w:cs="方正仿宋_GB2312;方正仿宋_GB2312" w:eastAsia="方正仿宋_GB2312;方正仿宋_GB2312"/>
          <w:color w:val="000000"/>
          <w:spacing w:val="-2"/>
          <w:sz w:val="24"/>
          <w:szCs w:val="24"/>
          <w:lang w:val="en-US" w:eastAsia="zh-CN"/>
        </w:rPr>
        <w:t>事人参照使用。合同双方当事人</w:t>
      </w:r>
      <w:r>
        <w:rPr>
          <w:rFonts w:ascii="方正仿宋_GB2312;方正仿宋_GB2312" w:hAnsi="方正仿宋_GB2312;方正仿宋_GB2312" w:cs="方正仿宋_GB2312;方正仿宋_GB2312" w:eastAsia="方正仿宋_GB2312;方正仿宋_GB2312"/>
          <w:color w:val="000000"/>
          <w:spacing w:val="-2"/>
          <w:sz w:val="24"/>
          <w:szCs w:val="24"/>
        </w:rPr>
        <w:t>可以</w:t>
      </w: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通过</w:t>
      </w:r>
      <w:r>
        <w:rPr>
          <w:rFonts w:ascii="方正仿宋_GB2312;方正仿宋_GB2312" w:hAnsi="方正仿宋_GB2312;方正仿宋_GB2312" w:cs="方正仿宋_GB2312;方正仿宋_GB2312" w:eastAsia="方正仿宋_GB2312;方正仿宋_GB2312"/>
          <w:color w:val="000000"/>
          <w:spacing w:val="-2"/>
          <w:sz w:val="24"/>
          <w:szCs w:val="24"/>
        </w:rPr>
        <w:t>书面形式</w:t>
      </w: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对本合同内容进行</w:t>
      </w:r>
      <w:r>
        <w:rPr>
          <w:rFonts w:ascii="方正仿宋_GB2312;方正仿宋_GB2312" w:hAnsi="方正仿宋_GB2312;方正仿宋_GB2312" w:cs="方正仿宋_GB2312;方正仿宋_GB2312" w:eastAsia="方正仿宋_GB2312;方正仿宋_GB2312"/>
          <w:color w:val="000000"/>
          <w:spacing w:val="-2"/>
          <w:sz w:val="24"/>
          <w:szCs w:val="24"/>
        </w:rPr>
        <w:t>变更或者补充</w:t>
      </w:r>
      <w:r>
        <w:rPr>
          <w:rFonts w:ascii="方正仿宋_GB2312;方正仿宋_GB2312" w:hAnsi="方正仿宋_GB2312;方正仿宋_GB2312" w:cs="方正仿宋_GB2312;方正仿宋_GB2312" w:eastAsia="方正仿宋_GB2312;方正仿宋_GB2312"/>
          <w:i w:val="false"/>
          <w:caps w:val="false"/>
          <w:smallCaps w:val="false"/>
          <w:color w:val="000000"/>
          <w:spacing w:val="-2"/>
          <w:kern w:val="2"/>
          <w:sz w:val="24"/>
          <w:szCs w:val="24"/>
          <w:shd w:fill="auto" w:val="clear"/>
          <w:lang w:val="en-US" w:eastAsia="zh-CN" w:bidi="ar"/>
        </w:rPr>
        <w:t>。</w:t>
      </w:r>
    </w:p>
    <w:p>
      <w:pPr>
        <w:pStyle w:val="Normal"/>
        <w:keepNext w:val="false"/>
        <w:keepLines w:val="false"/>
        <w:pageBreakBefore w:val="false"/>
        <w:widowControl/>
        <w:numPr>
          <w:ilvl w:val="0"/>
          <w:numId w:val="6"/>
        </w:numPr>
        <w:suppressLineNumbers w:val="0"/>
        <w:kinsoku w:val="true"/>
        <w:overflowPunct w:val="true"/>
        <w:bidi w:val="0"/>
        <w:snapToGrid w:val="true"/>
        <w:spacing w:lineRule="exact" w:line="400"/>
        <w:ind w:firstLine="472" w:start="0" w:end="0"/>
        <w:jc w:val="start"/>
        <w:textAlignment w:val="auto"/>
        <w:rPr>
          <w:rFonts w:ascii="方正仿宋_GB2312;方正仿宋_GB2312" w:hAnsi="方正仿宋_GB2312;方正仿宋_GB2312" w:eastAsia="方正仿宋_GB2312;方正仿宋_GB2312" w:cs="方正仿宋_GB2312;方正仿宋_GB2312"/>
          <w:color w:val="000000"/>
          <w:spacing w:val="-2"/>
          <w:sz w:val="24"/>
          <w:szCs w:val="24"/>
          <w:highlight w:val="none"/>
        </w:rPr>
      </w:pP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本《</w:t>
      </w:r>
      <w:r>
        <w:rPr>
          <w:rFonts w:ascii="方正仿宋_GB2312;方正仿宋_GB2312" w:hAnsi="方正仿宋_GB2312;方正仿宋_GB2312" w:cs="方正仿宋_GB2312;方正仿宋_GB2312" w:eastAsia="方正仿宋_GB2312;方正仿宋_GB2312"/>
          <w:color w:val="000000"/>
          <w:spacing w:val="-2"/>
          <w:sz w:val="24"/>
          <w:szCs w:val="24"/>
        </w:rPr>
        <w:t>合同</w:t>
      </w: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示范文本》</w:t>
      </w:r>
      <w:r>
        <w:rPr>
          <w:rFonts w:ascii="方正仿宋_GB2312;方正仿宋_GB2312" w:hAnsi="方正仿宋_GB2312;方正仿宋_GB2312" w:cs="方正仿宋_GB2312;方正仿宋_GB2312" w:eastAsia="方正仿宋_GB2312;方正仿宋_GB2312"/>
          <w:i w:val="false"/>
          <w:caps w:val="false"/>
          <w:smallCaps w:val="false"/>
          <w:color w:val="000000"/>
          <w:spacing w:val="-2"/>
          <w:kern w:val="2"/>
          <w:sz w:val="24"/>
          <w:szCs w:val="24"/>
          <w:shd w:fill="auto" w:val="clear"/>
          <w:lang w:val="en-US" w:eastAsia="zh-CN" w:bidi="ar"/>
        </w:rPr>
        <w:t>内容变更或补充后，双方不得以</w:t>
      </w: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w:t>
      </w:r>
      <w:r>
        <w:rPr>
          <w:rFonts w:ascii="方正仿宋_GB2312;方正仿宋_GB2312" w:hAnsi="方正仿宋_GB2312;方正仿宋_GB2312" w:cs="方正仿宋_GB2312;方正仿宋_GB2312" w:eastAsia="方正仿宋_GB2312;方正仿宋_GB2312"/>
          <w:color w:val="000000"/>
          <w:spacing w:val="-2"/>
          <w:sz w:val="24"/>
          <w:szCs w:val="24"/>
        </w:rPr>
        <w:t>合同</w:t>
      </w: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示范文本》</w:t>
      </w:r>
      <w:r>
        <w:rPr>
          <w:rFonts w:ascii="方正仿宋_GB2312;方正仿宋_GB2312" w:hAnsi="方正仿宋_GB2312;方正仿宋_GB2312" w:cs="方正仿宋_GB2312;方正仿宋_GB2312" w:eastAsia="方正仿宋_GB2312;方正仿宋_GB2312"/>
          <w:i w:val="false"/>
          <w:caps w:val="false"/>
          <w:smallCaps w:val="false"/>
          <w:color w:val="000000"/>
          <w:spacing w:val="-2"/>
          <w:kern w:val="2"/>
          <w:sz w:val="24"/>
          <w:szCs w:val="24"/>
          <w:shd w:fill="auto" w:val="clear"/>
          <w:lang w:val="en-US" w:eastAsia="zh-CN" w:bidi="ar"/>
        </w:rPr>
        <w:t>名义签订。</w:t>
      </w:r>
    </w:p>
    <w:p>
      <w:pPr>
        <w:pStyle w:val="Normal"/>
        <w:keepNext w:val="false"/>
        <w:keepLines w:val="false"/>
        <w:pageBreakBefore w:val="false"/>
        <w:widowControl w:val="false"/>
        <w:numPr>
          <w:ilvl w:val="0"/>
          <w:numId w:val="6"/>
        </w:numPr>
        <w:kinsoku w:val="true"/>
        <w:overflowPunct w:val="true"/>
        <w:autoSpaceDE w:val="true"/>
        <w:bidi w:val="0"/>
        <w:snapToGrid w:val="true"/>
        <w:spacing w:lineRule="exact" w:line="400"/>
        <w:ind w:firstLine="472" w:start="0" w:end="0"/>
        <w:jc w:val="both"/>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spacing w:val="-2"/>
          <w:sz w:val="24"/>
          <w:szCs w:val="24"/>
          <w:lang w:val="en-US" w:eastAsia="zh-CN"/>
        </w:rPr>
        <w:t>商品房出卖人</w:t>
      </w:r>
      <w:r>
        <w:rPr>
          <w:rFonts w:ascii="方正仿宋_GB2312;方正仿宋_GB2312" w:hAnsi="方正仿宋_GB2312;方正仿宋_GB2312" w:cs="方正仿宋_GB2312;方正仿宋_GB2312" w:eastAsia="方正仿宋_GB2312;方正仿宋_GB2312"/>
          <w:b w:val="false"/>
          <w:bCs w:val="false"/>
          <w:color w:val="000000"/>
          <w:spacing w:val="-2"/>
          <w:sz w:val="24"/>
          <w:szCs w:val="24"/>
          <w:lang w:val="en-US" w:eastAsia="zh-CN"/>
        </w:rPr>
        <w:t>应</w:t>
      </w:r>
      <w:r>
        <w:rPr>
          <w:rFonts w:ascii="方正仿宋_GB2312;方正仿宋_GB2312" w:hAnsi="方正仿宋_GB2312;方正仿宋_GB2312" w:cs="方正仿宋_GB2312;方正仿宋_GB2312" w:eastAsia="方正仿宋_GB2312;方正仿宋_GB2312"/>
          <w:b w:val="false"/>
          <w:bCs w:val="false"/>
          <w:color w:val="000000"/>
          <w:spacing w:val="-2"/>
          <w:sz w:val="24"/>
          <w:szCs w:val="24"/>
        </w:rPr>
        <w:t>在</w:t>
      </w:r>
      <w:r>
        <w:rPr>
          <w:rFonts w:ascii="方正仿宋_GB2312;方正仿宋_GB2312" w:hAnsi="方正仿宋_GB2312;方正仿宋_GB2312" w:cs="方正仿宋_GB2312;方正仿宋_GB2312" w:eastAsia="方正仿宋_GB2312;方正仿宋_GB2312"/>
          <w:b w:val="false"/>
          <w:bCs w:val="false"/>
          <w:color w:val="000000"/>
          <w:spacing w:val="-2"/>
          <w:sz w:val="24"/>
          <w:szCs w:val="24"/>
          <w:lang w:eastAsia="zh-CN"/>
        </w:rPr>
        <w:t>使用商品房买卖合同格式条款（含补充协议格式条款）</w:t>
      </w:r>
      <w:r>
        <w:rPr>
          <w:rFonts w:ascii="方正仿宋_GB2312;方正仿宋_GB2312" w:hAnsi="方正仿宋_GB2312;方正仿宋_GB2312" w:cs="方正仿宋_GB2312;方正仿宋_GB2312" w:eastAsia="方正仿宋_GB2312;方正仿宋_GB2312"/>
          <w:color w:val="000000"/>
          <w:spacing w:val="-2"/>
          <w:sz w:val="24"/>
          <w:szCs w:val="24"/>
        </w:rPr>
        <w:t>之日起三十日内，将合同样本报核发其营业执照的市场监督管理部门备案。</w:t>
      </w:r>
    </w:p>
    <w:p>
      <w:pPr>
        <w:pStyle w:val="Normal"/>
        <w:keepNext w:val="false"/>
        <w:keepLines w:val="false"/>
        <w:pageBreakBefore w:val="false"/>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签订本合同前，出卖人应当向买受人出示有关权属证书或证明文件。</w:t>
      </w:r>
    </w:p>
    <w:p>
      <w:pPr>
        <w:pStyle w:val="Normal"/>
        <w:keepNext w:val="false"/>
        <w:keepLines w:val="false"/>
        <w:pageBreakBefore w:val="false"/>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sz w:val="24"/>
          <w:lang w:val="en-US" w:eastAsia="zh-CN"/>
        </w:rPr>
        <w:t>签订本合同</w:t>
      </w:r>
      <w:r>
        <w:rPr>
          <w:rFonts w:ascii="方正仿宋_GB2312;方正仿宋_GB2312" w:hAnsi="方正仿宋_GB2312;方正仿宋_GB2312" w:cs="方正仿宋_GB2312;方正仿宋_GB2312" w:eastAsia="方正仿宋_GB2312;方正仿宋_GB2312"/>
          <w:b w:val="false"/>
          <w:bCs w:val="false"/>
          <w:color w:val="000000"/>
          <w:spacing w:val="-2"/>
          <w:sz w:val="24"/>
          <w:szCs w:val="24"/>
          <w:lang w:val="en-US" w:eastAsia="zh-CN"/>
        </w:rPr>
        <w:t>时，</w:t>
      </w:r>
      <w:r>
        <w:rPr>
          <w:rFonts w:ascii="方正仿宋_GB2312;方正仿宋_GB2312" w:hAnsi="方正仿宋_GB2312;方正仿宋_GB2312" w:cs="方正仿宋_GB2312;方正仿宋_GB2312" w:eastAsia="方正仿宋_GB2312;方正仿宋_GB2312"/>
          <w:b w:val="false"/>
          <w:bCs w:val="false"/>
          <w:color w:val="000000"/>
          <w:spacing w:val="-2"/>
          <w:sz w:val="24"/>
          <w:szCs w:val="24"/>
          <w:shd w:fill="auto" w:val="clear"/>
          <w:lang w:val="en-US" w:eastAsia="zh-CN"/>
        </w:rPr>
        <w:t>买卖双方合同主体资格应符合法律法规和房屋所在地的房地产管理规定</w:t>
      </w:r>
      <w:r>
        <w:rPr>
          <w:rFonts w:ascii="方正仿宋_GB2312;方正仿宋_GB2312" w:hAnsi="方正仿宋_GB2312;方正仿宋_GB2312" w:cs="方正仿宋_GB2312;方正仿宋_GB2312" w:eastAsia="方正仿宋_GB2312;方正仿宋_GB2312"/>
          <w:b w:val="false"/>
          <w:bCs w:val="false"/>
          <w:color w:val="000000"/>
          <w:spacing w:val="-2"/>
          <w:sz w:val="24"/>
          <w:szCs w:val="24"/>
          <w:lang w:val="en-US" w:eastAsia="zh-CN"/>
        </w:rPr>
        <w:t>。</w:t>
      </w:r>
    </w:p>
    <w:p>
      <w:pPr>
        <w:pStyle w:val="Normal"/>
        <w:keepNext w:val="false"/>
        <w:keepLines w:val="false"/>
        <w:pageBreakBefore w:val="false"/>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本合同文本【】中选择内容、空格部位填写内容及其他需要删除或添加的内容，双方当事人应当协商确定。【】中选择内容，以划√方式选定；对于实际情况未发生或双方当事人不作约定时，应当在空格部位打</w:t>
      </w:r>
      <w:r>
        <w:rPr>
          <w:rFonts w:eastAsia="方正仿宋_GB2312;方正仿宋_GB2312" w:cs="方正仿宋_GB2312;方正仿宋_GB2312" w:ascii="方正仿宋_GB2312;方正仿宋_GB2312" w:hAnsi="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rPr>
        <w:t>，以示删除。</w:t>
      </w:r>
    </w:p>
    <w:p>
      <w:pPr>
        <w:pStyle w:val="Normal"/>
        <w:keepNext w:val="false"/>
        <w:keepLines w:val="false"/>
        <w:pageBreakBefore w:val="false"/>
        <w:numPr>
          <w:ilvl w:val="0"/>
          <w:numId w:val="6"/>
        </w:numPr>
        <w:kinsoku w:val="true"/>
        <w:overflowPunct w:val="tru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sz w:val="24"/>
          <w:szCs w:val="24"/>
          <w:highlight w:val="none"/>
        </w:rPr>
      </w:pPr>
      <w:r>
        <w:rPr>
          <w:rFonts w:ascii="方正仿宋_GB2312;方正仿宋_GB2312" w:hAnsi="方正仿宋_GB2312;方正仿宋_GB2312" w:cs="方正仿宋_GB2312;方正仿宋_GB2312" w:eastAsia="方正仿宋_GB2312;方正仿宋_GB2312"/>
          <w:sz w:val="24"/>
          <w:szCs w:val="24"/>
          <w:lang w:val="en-US" w:eastAsia="zh-CN"/>
        </w:rPr>
        <w:t>本</w:t>
      </w: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w:t>
      </w:r>
      <w:r>
        <w:rPr>
          <w:rFonts w:ascii="方正仿宋_GB2312;方正仿宋_GB2312" w:hAnsi="方正仿宋_GB2312;方正仿宋_GB2312" w:cs="方正仿宋_GB2312;方正仿宋_GB2312" w:eastAsia="方正仿宋_GB2312;方正仿宋_GB2312"/>
          <w:color w:val="000000"/>
          <w:spacing w:val="-2"/>
          <w:sz w:val="24"/>
          <w:szCs w:val="24"/>
        </w:rPr>
        <w:t>合同</w:t>
      </w:r>
      <w:r>
        <w:rPr>
          <w:rFonts w:ascii="方正仿宋_GB2312;方正仿宋_GB2312" w:hAnsi="方正仿宋_GB2312;方正仿宋_GB2312" w:cs="方正仿宋_GB2312;方正仿宋_GB2312" w:eastAsia="方正仿宋_GB2312;方正仿宋_GB2312"/>
          <w:color w:val="000000"/>
          <w:spacing w:val="-2"/>
          <w:sz w:val="24"/>
          <w:szCs w:val="24"/>
          <w:lang w:eastAsia="zh-CN"/>
        </w:rPr>
        <w:t>示范文本》</w:t>
      </w:r>
      <w:r>
        <w:rPr>
          <w:rFonts w:ascii="方正仿宋_GB2312;方正仿宋_GB2312" w:hAnsi="方正仿宋_GB2312;方正仿宋_GB2312" w:cs="方正仿宋_GB2312;方正仿宋_GB2312" w:eastAsia="方正仿宋_GB2312;方正仿宋_GB2312"/>
          <w:color w:val="000000"/>
          <w:spacing w:val="-2"/>
          <w:sz w:val="24"/>
          <w:szCs w:val="24"/>
          <w:lang w:val="en-US" w:eastAsia="zh-CN"/>
        </w:rPr>
        <w:t>中</w:t>
      </w:r>
      <w:r>
        <w:rPr>
          <w:rFonts w:ascii="方正仿宋_GB2312;方正仿宋_GB2312" w:hAnsi="方正仿宋_GB2312;方正仿宋_GB2312" w:cs="方正仿宋_GB2312;方正仿宋_GB2312" w:eastAsia="方正仿宋_GB2312;方正仿宋_GB2312"/>
          <w:sz w:val="24"/>
          <w:szCs w:val="24"/>
          <w:lang w:val="en-US" w:eastAsia="zh-CN"/>
        </w:rPr>
        <w:t>除特别明确外，表示数量、时间的内容</w:t>
      </w:r>
      <w:r>
        <w:rPr>
          <w:rFonts w:ascii="方正仿宋_GB2312;方正仿宋_GB2312" w:hAnsi="方正仿宋_GB2312;方正仿宋_GB2312" w:cs="方正仿宋_GB2312;方正仿宋_GB2312" w:eastAsia="方正仿宋_GB2312;方正仿宋_GB2312"/>
          <w:color w:val="000000"/>
          <w:spacing w:val="-2"/>
          <w:sz w:val="24"/>
          <w:szCs w:val="24"/>
          <w:lang w:val="en-US" w:eastAsia="zh-CN"/>
        </w:rPr>
        <w:t>均使用阿拉伯数字填写。</w:t>
      </w:r>
    </w:p>
    <w:p>
      <w:pPr>
        <w:pStyle w:val="Normal"/>
        <w:keepNext w:val="false"/>
        <w:keepLines w:val="false"/>
        <w:pageBreakBefore w:val="false"/>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出卖人与买受人可以针对本合同文本中没有约定或者约定不明确的内容，根据所售项目的具体情况在相关条款后的空白行中进行补充约定，也可另行签订补充协议。</w:t>
      </w:r>
    </w:p>
    <w:p>
      <w:pPr>
        <w:pStyle w:val="Normal"/>
        <w:keepNext w:val="false"/>
        <w:keepLines w:val="false"/>
        <w:pageBreakBefore w:val="false"/>
        <w:numPr>
          <w:ilvl w:val="0"/>
          <w:numId w:val="6"/>
        </w:numPr>
        <w:kinsoku w:val="true"/>
        <w:overflowPunct w:val="true"/>
        <w:autoSpaceDE w:val="false"/>
        <w:bidi w:val="0"/>
        <w:snapToGrid w:val="true"/>
        <w:spacing w:lineRule="exact" w:line="4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双方当事人可以根据实际情况决定本合同原件的份数，并在签订合同时认真核对，以确保各份合同内容一致；在任何情况下，出卖人和买受人都应当至少持有一份合同原件。</w:t>
      </w:r>
    </w:p>
    <w:p>
      <w:pPr>
        <w:pStyle w:val="Normal"/>
        <w:keepNext w:val="false"/>
        <w:keepLines w:val="false"/>
        <w:pageBreakBefore w:val="false"/>
        <w:widowControl/>
        <w:kinsoku w:val="true"/>
        <w:overflowPunct w:val="true"/>
        <w:autoSpaceDE w:val="true"/>
        <w:bidi w:val="0"/>
        <w:snapToGrid w:val="true"/>
        <w:jc w:val="both"/>
        <w:textAlignment w:val="auto"/>
        <w:rPr>
          <w:rFonts w:ascii="Times New Roman" w:hAnsi="Times New Roman" w:eastAsia="方正小标宋简体" w:cs="Times New Roman"/>
          <w:color w:val="000000"/>
          <w:kern w:val="0"/>
          <w:sz w:val="44"/>
          <w:szCs w:val="44"/>
          <w:highlight w:val="none"/>
        </w:rPr>
      </w:pPr>
      <w:r>
        <w:rPr>
          <w:rFonts w:eastAsia="方正小标宋简体" w:cs="Times New Roman"/>
          <w:color w:val="000000"/>
          <w:kern w:val="0"/>
          <w:sz w:val="44"/>
          <w:szCs w:val="44"/>
        </w:rPr>
      </w:r>
    </w:p>
    <w:p>
      <w:pPr>
        <w:pStyle w:val="Normal"/>
        <w:keepNext w:val="false"/>
        <w:keepLines w:val="false"/>
        <w:pageBreakBefore w:val="false"/>
        <w:widowControl/>
        <w:kinsoku w:val="true"/>
        <w:overflowPunct w:val="true"/>
        <w:autoSpaceDE w:val="true"/>
        <w:bidi w:val="0"/>
        <w:snapToGrid w:val="true"/>
        <w:jc w:val="center"/>
        <w:textAlignment w:val="auto"/>
        <w:rPr>
          <w:rFonts w:ascii="Times New Roman" w:hAnsi="Times New Roman" w:eastAsia="方正小标宋简体" w:cs="Times New Roman"/>
          <w:color w:val="000000"/>
          <w:kern w:val="0"/>
          <w:sz w:val="44"/>
          <w:szCs w:val="44"/>
          <w:highlight w:val="none"/>
        </w:rPr>
      </w:pPr>
      <w:r>
        <w:rPr>
          <w:rFonts w:ascii="Times New Roman" w:hAnsi="Times New Roman" w:cs="Times New Roman" w:eastAsia="方正小标宋简体"/>
          <w:color w:val="000000"/>
          <w:kern w:val="0"/>
          <w:sz w:val="44"/>
          <w:szCs w:val="44"/>
        </w:rPr>
        <w:t>专业术语解释</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商品房现售：是指房地产开发企业将竣工验收合格的商品房出售给买受人，并由买受人支付房价款的行为。</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法定代理人：是指依照法律规定直接取得代理权的人。</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套内建筑面积：是指成套房屋的套内建筑面积，由套内使用面积、套内墙体面积、套内阳台建筑面积三部分组成。</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房屋的建筑面积：是指房屋外墙（柱）勒脚以上各层的外围水平投影面积，包括阳台、挑廊、地下室、室外楼梯等，且具备有上盖，结构牢固，层高</w:t>
      </w:r>
      <w:r>
        <w:rPr>
          <w:rFonts w:eastAsia="方正仿宋_GB2312;方正仿宋_GB2312" w:cs="方正仿宋_GB2312;方正仿宋_GB2312" w:ascii="方正仿宋_GB2312;方正仿宋_GB2312" w:hAnsi="方正仿宋_GB2312;方正仿宋_GB2312"/>
          <w:color w:val="000000"/>
          <w:kern w:val="0"/>
          <w:sz w:val="24"/>
          <w:szCs w:val="24"/>
        </w:rPr>
        <w:t>2.20M</w:t>
      </w:r>
      <w:r>
        <w:rPr>
          <w:rFonts w:ascii="方正仿宋_GB2312;方正仿宋_GB2312" w:hAnsi="方正仿宋_GB2312;方正仿宋_GB2312" w:cs="方正仿宋_GB2312;方正仿宋_GB2312" w:eastAsia="方正仿宋_GB2312;方正仿宋_GB2312"/>
          <w:color w:val="000000"/>
          <w:kern w:val="0"/>
          <w:sz w:val="24"/>
          <w:szCs w:val="24"/>
        </w:rPr>
        <w:t>以上（含</w:t>
      </w:r>
      <w:r>
        <w:rPr>
          <w:rFonts w:eastAsia="方正仿宋_GB2312;方正仿宋_GB2312" w:cs="方正仿宋_GB2312;方正仿宋_GB2312" w:ascii="方正仿宋_GB2312;方正仿宋_GB2312" w:hAnsi="方正仿宋_GB2312;方正仿宋_GB2312"/>
          <w:color w:val="000000"/>
          <w:kern w:val="0"/>
          <w:sz w:val="24"/>
          <w:szCs w:val="24"/>
        </w:rPr>
        <w:t>2.20M</w:t>
      </w:r>
      <w:r>
        <w:rPr>
          <w:rFonts w:ascii="方正仿宋_GB2312;方正仿宋_GB2312" w:hAnsi="方正仿宋_GB2312;方正仿宋_GB2312" w:cs="方正仿宋_GB2312;方正仿宋_GB2312" w:eastAsia="方正仿宋_GB2312;方正仿宋_GB2312"/>
          <w:color w:val="000000"/>
          <w:kern w:val="0"/>
          <w:sz w:val="24"/>
          <w:szCs w:val="24"/>
        </w:rPr>
        <w:t>）的永久性建筑。</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不可抗力：是指不能预见、不能避免并不能克服的客观情况。</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民用建筑节能：是指在保证民用建筑使用功能和室内热环境质量的前提下，降低其使用过程中能源消耗的活动。民用建筑是指居住建筑、国家机关办公建筑和商业、服务业、教育、卫生等其他公共建筑（包括工业用地范围内用于办公、生活服务等用途的建筑）。</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房屋交易手续：是指房屋交易双方依法持相关证明材料到主管部门进行交易确认、领取交易告知单的过程。</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合同网签备案</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是指房屋交易双方</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通过网上合同签订系统进行合同网上签约及备案的过程</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不动产登记：是指不动产登记机构依法将房屋、土地等不动产权利归属和其他法定事项记载于不动产登记簿的行为。</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分割拆零销售：是指房地产开发企业将成套的商品住宅或者主管部门规定的最小不可分割单元的其他商品房分割为数部分分别出售给买受人的销售方式。</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返本销售：是指房地产开发企业以定期向买受人返还购房款的方式销售商品房的行为。</w:t>
      </w:r>
    </w:p>
    <w:p>
      <w:pPr>
        <w:pStyle w:val="Normal"/>
        <w:numPr>
          <w:ilvl w:val="0"/>
          <w:numId w:val="2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全装修住宅：在住宅交付使用前，户内所有功能空间的固定面全部铺装或粉刷完毕，给水排水、燃气、通风与空调、照明供电以及智能化等系统基本安装到位，厨房、卫生间等基本设施配置完备，满足基本使用功能的住宅。</w:t>
      </w:r>
    </w:p>
    <w:p>
      <w:pPr>
        <w:pStyle w:val="Normal"/>
        <w:rPr>
          <w:rFonts w:ascii="Times New Roman" w:hAnsi="Times New Roman" w:eastAsia="方正仿宋_GB2312;方正仿宋_GB2312" w:cs="Times New Roman"/>
          <w:color w:val="000000"/>
          <w:kern w:val="0"/>
          <w:sz w:val="24"/>
          <w:szCs w:val="24"/>
          <w:highlight w:val="none"/>
        </w:rPr>
      </w:pPr>
      <w:r>
        <w:rPr>
          <w:rFonts w:eastAsia="方正仿宋_GB2312;方正仿宋_GB2312" w:cs="Times New Roman"/>
          <w:color w:val="000000"/>
          <w:kern w:val="0"/>
          <w:sz w:val="24"/>
          <w:szCs w:val="24"/>
        </w:rPr>
      </w:r>
    </w:p>
    <w:p>
      <w:pPr>
        <w:pStyle w:val="Normal"/>
        <w:rPr>
          <w:rFonts w:ascii="Times New Roman" w:hAnsi="Times New Roman" w:cs="Times New Roman"/>
          <w:color w:val="000000"/>
          <w:kern w:val="0"/>
          <w:sz w:val="24"/>
          <w:szCs w:val="24"/>
          <w:highlight w:val="none"/>
        </w:rPr>
      </w:pPr>
      <w:r>
        <w:rPr>
          <w:rFonts w:cs="Times New Roman"/>
          <w:color w:val="000000"/>
          <w:kern w:val="0"/>
          <w:sz w:val="24"/>
          <w:szCs w:val="24"/>
        </w:rPr>
      </w:r>
    </w:p>
    <w:p>
      <w:pPr>
        <w:pStyle w:val="Normal"/>
        <w:rPr>
          <w:rFonts w:ascii="Times New Roman" w:hAnsi="Times New Roman" w:cs="Times New Roman"/>
          <w:color w:val="000000"/>
          <w:kern w:val="0"/>
          <w:sz w:val="24"/>
          <w:szCs w:val="24"/>
          <w:highlight w:val="none"/>
        </w:rPr>
      </w:pPr>
      <w:r>
        <w:rPr>
          <w:rFonts w:cs="Times New Roman"/>
          <w:color w:val="000000"/>
          <w:kern w:val="0"/>
          <w:sz w:val="24"/>
          <w:szCs w:val="24"/>
        </w:rPr>
      </w:r>
    </w:p>
    <w:p>
      <w:pPr>
        <w:pStyle w:val="Normal"/>
        <w:widowControl/>
        <w:jc w:val="center"/>
        <w:rPr>
          <w:rFonts w:ascii="Times New Roman" w:hAnsi="Times New Roman" w:eastAsia="方正小标宋简体" w:cs="Times New Roman"/>
          <w:color w:val="000000"/>
          <w:kern w:val="0"/>
          <w:sz w:val="44"/>
          <w:szCs w:val="44"/>
          <w:highlight w:val="none"/>
        </w:rPr>
      </w:pPr>
      <w:r>
        <w:rPr>
          <w:rFonts w:ascii="Times New Roman" w:hAnsi="Times New Roman" w:cs="Times New Roman" w:eastAsia="方正小标宋简体"/>
          <w:color w:val="000000"/>
          <w:kern w:val="0"/>
          <w:sz w:val="44"/>
          <w:szCs w:val="44"/>
        </w:rPr>
        <w:t>浙江省商品房买卖合同</w:t>
      </w:r>
    </w:p>
    <w:p>
      <w:pPr>
        <w:pStyle w:val="Normal"/>
        <w:widowControl/>
        <w:snapToGrid w:val="false"/>
        <w:jc w:val="center"/>
        <w:rPr>
          <w:rFonts w:ascii="Times New Roman" w:hAnsi="Times New Roman" w:cs="Times New Roman"/>
          <w:color w:val="000000"/>
          <w:kern w:val="0"/>
          <w:sz w:val="36"/>
          <w:szCs w:val="36"/>
          <w:highlight w:val="none"/>
        </w:rPr>
      </w:pPr>
      <w:r>
        <w:rPr>
          <w:rFonts w:ascii="Times New Roman" w:hAnsi="Times New Roman" w:cs="Times New Roman"/>
          <w:color w:val="000000"/>
          <w:kern w:val="0"/>
          <w:sz w:val="36"/>
          <w:szCs w:val="36"/>
        </w:rPr>
        <w:t>（现售）</w:t>
      </w:r>
    </w:p>
    <w:p>
      <w:pPr>
        <w:pStyle w:val="Normal"/>
        <w:autoSpaceDE w:val="false"/>
        <w:ind w:firstLine="480" w:end="0"/>
        <w:rPr>
          <w:rFonts w:ascii="Times New Roman" w:hAnsi="Times New Roman" w:cs="Times New Roman"/>
          <w:color w:val="000000"/>
          <w:kern w:val="0"/>
          <w:sz w:val="24"/>
          <w:szCs w:val="24"/>
          <w:highlight w:val="none"/>
        </w:rPr>
      </w:pPr>
      <w:r>
        <w:rPr>
          <w:rFonts w:cs="Times New Roman"/>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出卖人向买受人出售其开发建设的房屋，双方当事人在自愿、平等、公平及诚实信用的基础上，</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根据《中华人民共和国民法典》《中华人民共和国城市房地产管理法》等法律、法规的规定</w:t>
      </w:r>
      <w:r>
        <w:rPr>
          <w:rFonts w:ascii="方正仿宋_GB2312;方正仿宋_GB2312" w:hAnsi="方正仿宋_GB2312;方正仿宋_GB2312" w:cs="方正仿宋_GB2312;方正仿宋_GB2312" w:eastAsia="方正仿宋_GB2312;方正仿宋_GB2312"/>
          <w:color w:val="000000"/>
          <w:kern w:val="0"/>
          <w:sz w:val="24"/>
          <w:szCs w:val="24"/>
        </w:rPr>
        <w:t>，就商品房买卖相关内容协商达成一致意见，签订本商品房买卖合同。</w:t>
      </w:r>
    </w:p>
    <w:p>
      <w:pPr>
        <w:pStyle w:val="Normal"/>
        <w:autoSpaceDE w:val="false"/>
        <w:spacing w:before="221" w:after="221"/>
        <w:jc w:val="center"/>
        <w:rPr>
          <w:rFonts w:ascii="Times New Roman" w:hAnsi="Times New Roman" w:eastAsia="黑体" w:cs="Times New Roman"/>
          <w:color w:val="000000"/>
          <w:kern w:val="0"/>
          <w:sz w:val="28"/>
          <w:szCs w:val="28"/>
          <w:highlight w:val="none"/>
        </w:rPr>
      </w:pPr>
      <w:r>
        <w:rPr>
          <w:rFonts w:ascii="Times New Roman" w:hAnsi="Times New Roman" w:cs="Times New Roman" w:eastAsia="黑体"/>
          <w:color w:val="000000"/>
          <w:kern w:val="0"/>
          <w:sz w:val="28"/>
          <w:szCs w:val="28"/>
        </w:rPr>
        <w:t>第一章</w:t>
      </w:r>
      <w:r>
        <w:rPr>
          <w:rFonts w:ascii="Times New Roman" w:hAnsi="Times New Roman" w:cs="Times New Roman" w:eastAsia="Times New Roman"/>
          <w:color w:val="000000"/>
          <w:kern w:val="0"/>
          <w:sz w:val="28"/>
          <w:szCs w:val="28"/>
          <w:lang w:val="en-US" w:eastAsia="zh-CN"/>
        </w:rPr>
        <w:t xml:space="preserve"> </w:t>
      </w:r>
      <w:r>
        <w:rPr>
          <w:rFonts w:ascii="Times New Roman" w:hAnsi="Times New Roman" w:cs="Times New Roman" w:eastAsia="黑体"/>
          <w:color w:val="000000"/>
          <w:kern w:val="0"/>
          <w:sz w:val="28"/>
          <w:szCs w:val="28"/>
        </w:rPr>
        <w:t>合同当事人</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出卖人：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通讯地址：</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邮政编码：</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电子邮箱：</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统一社会信用代码：</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企业资质证书号：</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法定代表人：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联系电话：</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委托代理人：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联系电话：</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委托销售经纪机构：</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通讯地址：</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邮政编码：</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经纪机构统一社会信用代码：</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法定代表人：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联系电话：</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买受人：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【法定代表人】【负责人】：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【国籍】【户籍所在地】：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证件类型：【居民身份证】【护照】【营业执照】【</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】，证号：</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出生日期：</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日，性别：</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通讯地址：</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邮政编码：</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联系电话：</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【委托代理人】【法定代理人】：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【国籍】【户籍所在地】：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证件类型：【居民身份证】【护照】【营业执照】【</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】，证号：</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出生日期：</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月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日，性别：</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通讯地址：</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邮政编码：</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联系电话：</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numPr>
          <w:ilvl w:val="0"/>
          <w:numId w:val="0"/>
        </w:numPr>
        <w:autoSpaceDE w:val="false"/>
        <w:ind w:firstLine="480" w:end="0"/>
        <w:outlineLvl w:val="0"/>
        <w:rPr>
          <w:rFonts w:ascii="Times New Roman" w:hAnsi="Times New Roman" w:cs="Times New Roman"/>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（买受人为多人时，可相应增加）</w:t>
      </w:r>
    </w:p>
    <w:p>
      <w:pPr>
        <w:pStyle w:val="Normal"/>
        <w:autoSpaceDE w:val="false"/>
        <w:spacing w:before="221" w:after="221"/>
        <w:jc w:val="center"/>
        <w:rPr>
          <w:rFonts w:ascii="Times New Roman" w:hAnsi="Times New Roman" w:eastAsia="黑体" w:cs="Times New Roman"/>
          <w:color w:val="000000"/>
          <w:kern w:val="0"/>
          <w:sz w:val="28"/>
          <w:szCs w:val="28"/>
          <w:highlight w:val="none"/>
        </w:rPr>
      </w:pPr>
      <w:r>
        <w:rPr>
          <w:rFonts w:ascii="Times New Roman" w:hAnsi="Times New Roman" w:cs="Times New Roman" w:eastAsia="黑体"/>
          <w:color w:val="000000"/>
          <w:kern w:val="0"/>
          <w:sz w:val="28"/>
          <w:szCs w:val="28"/>
        </w:rPr>
        <w:t>第二章</w:t>
      </w:r>
      <w:r>
        <w:rPr>
          <w:rFonts w:ascii="Times New Roman" w:hAnsi="Times New Roman" w:cs="Times New Roman" w:eastAsia="Times New Roman"/>
          <w:color w:val="000000"/>
          <w:kern w:val="0"/>
          <w:sz w:val="28"/>
          <w:szCs w:val="28"/>
          <w:lang w:val="en-US" w:eastAsia="zh-CN"/>
        </w:rPr>
        <w:t xml:space="preserve"> </w:t>
      </w:r>
      <w:r>
        <w:rPr>
          <w:rFonts w:ascii="Times New Roman" w:hAnsi="Times New Roman" w:cs="Times New Roman" w:eastAsia="黑体"/>
          <w:color w:val="000000"/>
          <w:kern w:val="0"/>
          <w:sz w:val="28"/>
          <w:szCs w:val="28"/>
        </w:rPr>
        <w:t>商品房基本状况</w:t>
      </w:r>
    </w:p>
    <w:p>
      <w:pPr>
        <w:pStyle w:val="Normal"/>
        <w:keepNext w:val="false"/>
        <w:keepLines w:val="false"/>
        <w:pageBreakBefore w:val="false"/>
        <w:widowControl w:val="false"/>
        <w:numPr>
          <w:ilvl w:val="0"/>
          <w:numId w:val="0"/>
        </w:numPr>
        <w:kinsoku w:val="true"/>
        <w:overflowPunct w:val="true"/>
        <w:autoSpaceDE w:val="false"/>
        <w:bidi w:val="0"/>
        <w:snapToGrid w:val="true"/>
        <w:ind w:firstLine="482" w:end="0"/>
        <w:textAlignment w:val="auto"/>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第一条 商品房性质</w:t>
      </w:r>
    </w:p>
    <w:p>
      <w:pPr>
        <w:pStyle w:val="Normal"/>
        <w:keepNext w:val="false"/>
        <w:keepLines w:val="false"/>
        <w:pageBreakBefore w:val="false"/>
        <w:widowControl w:val="false"/>
        <w:kinsoku w:val="true"/>
        <w:overflowPunct w:val="true"/>
        <w:autoSpaceDE w:val="false"/>
        <w:bidi w:val="0"/>
        <w:snapToGrid w:val="true"/>
        <w:ind w:firstLine="48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该商品房为</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【毛坯住宅】</w:t>
      </w:r>
      <w:r>
        <w:rPr>
          <w:rFonts w:ascii="方正仿宋_GB2312;方正仿宋_GB2312" w:hAnsi="方正仿宋_GB2312;方正仿宋_GB2312" w:cs="方正仿宋_GB2312;方正仿宋_GB2312" w:eastAsia="方正仿宋_GB2312;方正仿宋_GB2312"/>
          <w:color w:val="000000"/>
          <w:kern w:val="0"/>
          <w:sz w:val="24"/>
          <w:szCs w:val="24"/>
        </w:rPr>
        <w:t>【全装修住宅】【其他类型商品房</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keepNext w:val="false"/>
        <w:keepLines w:val="false"/>
        <w:pageBreakBefore w:val="false"/>
        <w:widowControl w:val="false"/>
        <w:numPr>
          <w:ilvl w:val="0"/>
          <w:numId w:val="0"/>
        </w:numPr>
        <w:kinsoku w:val="true"/>
        <w:overflowPunct w:val="true"/>
        <w:autoSpaceDE w:val="false"/>
        <w:bidi w:val="0"/>
        <w:snapToGrid w:val="true"/>
        <w:ind w:firstLine="482" w:end="0"/>
        <w:textAlignment w:val="auto"/>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第二条 项目建设依据</w:t>
      </w:r>
    </w:p>
    <w:p>
      <w:pPr>
        <w:pStyle w:val="Normal"/>
        <w:keepNext w:val="false"/>
        <w:keepLines w:val="false"/>
        <w:pageBreakBefore w:val="false"/>
        <w:widowControl w:val="false"/>
        <w:kinsoku w:val="true"/>
        <w:overflowPunct w:val="true"/>
        <w:autoSpaceDE w:val="false"/>
        <w:bidi w:val="0"/>
        <w:snapToGrid w:val="true"/>
        <w:ind w:firstLine="480" w:end="0"/>
        <w:textAlignment w:val="auto"/>
        <w:rPr>
          <w:rFonts w:ascii="方正仿宋_GB2312;方正仿宋_GB2312" w:hAnsi="方正仿宋_GB2312;方正仿宋_GB2312" w:eastAsia="方正仿宋_GB2312;方正仿宋_GB2312" w:cs="方正仿宋_GB2312;方正仿宋_GB2312"/>
          <w:color w:val="000000"/>
          <w:sz w:val="24"/>
          <w:szCs w:val="32"/>
          <w:highlight w:val="none"/>
          <w:u w:val="none"/>
          <w:lang w:val="en-US" w:eastAsia="zh-CN"/>
        </w:rPr>
      </w:pP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出卖人以【出让】【划拨】【</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】方式取得坐落于</w:t>
      </w:r>
      <w:r>
        <w:rPr>
          <w:rFonts w:ascii="方正仿宋_GB2312;方正仿宋_GB2312" w:hAnsi="方正仿宋_GB2312;方正仿宋_GB2312" w:cs="方正仿宋_GB2312;方正仿宋_GB2312" w:eastAsia="方正仿宋_GB2312;方正仿宋_GB2312"/>
          <w:color w:val="000000"/>
          <w:sz w:val="21"/>
          <w:szCs w:val="21"/>
          <w:u w:val="single"/>
        </w:rPr>
        <w:t xml:space="preserve">   </w:t>
      </w:r>
      <w:r>
        <w:rPr>
          <w:rFonts w:ascii="方正仿宋_GB2312;方正仿宋_GB2312" w:hAnsi="方正仿宋_GB2312;方正仿宋_GB2312" w:cs="方正仿宋_GB2312;方正仿宋_GB2312" w:eastAsia="方正仿宋_GB2312;方正仿宋_GB2312"/>
          <w:color w:val="000000"/>
          <w:sz w:val="21"/>
          <w:szCs w:val="21"/>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1"/>
          <w:szCs w:val="21"/>
          <w:u w:val="single"/>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市（设区的市）</w:t>
      </w:r>
    </w:p>
    <w:p>
      <w:pPr>
        <w:pStyle w:val="Normal"/>
        <w:keepNext w:val="false"/>
        <w:keepLines w:val="false"/>
        <w:pageBreakBefore w:val="false"/>
        <w:widowControl w:val="false"/>
        <w:kinsoku w:val="true"/>
        <w:overflowPunct w:val="true"/>
        <w:autoSpaceDE w:val="false"/>
        <w:bidi w:val="0"/>
        <w:snapToGrid w:val="true"/>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sz w:val="21"/>
          <w:szCs w:val="21"/>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【县】【市】【区】【</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地块的建设用地使用权。该地块【国有土地使用证号】【</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，土地使用权面积为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keepNext w:val="false"/>
        <w:keepLines w:val="false"/>
        <w:pageBreakBefore w:val="false"/>
        <w:widowControl w:val="false"/>
        <w:kinsoku w:val="true"/>
        <w:overflowPunct w:val="true"/>
        <w:autoSpaceDE w:val="false"/>
        <w:bidi w:val="0"/>
        <w:snapToGrid w:val="true"/>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平方米。买受人购买的商品房（以下简称该商品房）所占用的土地用途为</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住宅用地</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商服用地</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，土地使用权终止日期为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w:t>
      </w:r>
    </w:p>
    <w:p>
      <w:pPr>
        <w:pStyle w:val="Normal"/>
        <w:keepNext w:val="false"/>
        <w:keepLines w:val="false"/>
        <w:pageBreakBefore w:val="false"/>
        <w:widowControl w:val="false"/>
        <w:numPr>
          <w:ilvl w:val="0"/>
          <w:numId w:val="22"/>
        </w:numPr>
        <w:kinsoku w:val="true"/>
        <w:overflowPunct w:val="true"/>
        <w:autoSpaceDE w:val="false"/>
        <w:bidi w:val="0"/>
        <w:snapToGrid w:val="true"/>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出卖人经批准，在上述地块上建设的商品房项目核准名称为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sz w:val="24"/>
          <w:lang w:val="en-US" w:eastAsia="zh-CN"/>
        </w:rPr>
        <w:t>国有建设用地规划许可证号为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，建设工程规划许可证号为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，建筑工程施工许可证号为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keepNext w:val="false"/>
        <w:keepLines w:val="false"/>
        <w:pageBreakBefore w:val="false"/>
        <w:widowControl w:val="false"/>
        <w:numPr>
          <w:ilvl w:val="0"/>
          <w:numId w:val="22"/>
        </w:numPr>
        <w:kinsoku w:val="true"/>
        <w:overflowPunct w:val="true"/>
        <w:autoSpaceDE w:val="false"/>
        <w:bidi w:val="0"/>
        <w:snapToGrid w:val="true"/>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全装修住宅对装修部分单独领取施工许可证的，装修部分的施工许可证号为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keepNext w:val="false"/>
        <w:keepLines w:val="false"/>
        <w:pageBreakBefore w:val="false"/>
        <w:widowControl w:val="false"/>
        <w:kinsoku w:val="true"/>
        <w:overflowPunct w:val="true"/>
        <w:autoSpaceDE w:val="false"/>
        <w:bidi w:val="0"/>
        <w:snapToGrid w:val="true"/>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keepNext w:val="false"/>
        <w:keepLines w:val="false"/>
        <w:pageBreakBefore w:val="false"/>
        <w:widowControl w:val="false"/>
        <w:numPr>
          <w:ilvl w:val="0"/>
          <w:numId w:val="0"/>
        </w:numPr>
        <w:kinsoku w:val="true"/>
        <w:overflowPunct w:val="true"/>
        <w:autoSpaceDE w:val="false"/>
        <w:bidi w:val="0"/>
        <w:snapToGrid w:val="true"/>
        <w:ind w:firstLine="482" w:end="0"/>
        <w:textAlignment w:val="auto"/>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第三条 销售依据</w:t>
      </w:r>
    </w:p>
    <w:p>
      <w:pPr>
        <w:pStyle w:val="Normal"/>
        <w:keepNext w:val="false"/>
        <w:keepLines w:val="false"/>
        <w:pageBreakBefore w:val="false"/>
        <w:widowControl w:val="false"/>
        <w:kinsoku w:val="true"/>
        <w:overflowPunct w:val="true"/>
        <w:autoSpaceDE w:val="false"/>
        <w:bidi w:val="0"/>
        <w:snapToGrid w:val="true"/>
        <w:ind w:firstLine="48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lang w:val="en-US" w:eastAsia="zh-CN"/>
        </w:rPr>
      </w:pP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 xml:space="preserve">1. </w:t>
      </w:r>
      <w:r>
        <w:rPr>
          <w:rFonts w:ascii="方正仿宋_GB2312;方正仿宋_GB2312" w:hAnsi="方正仿宋_GB2312;方正仿宋_GB2312" w:cs="方正仿宋_GB2312;方正仿宋_GB2312" w:eastAsia="方正仿宋_GB2312;方正仿宋_GB2312"/>
          <w:color w:val="000000"/>
          <w:kern w:val="0"/>
          <w:sz w:val="24"/>
          <w:szCs w:val="24"/>
        </w:rPr>
        <w:t>该商品房已</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于</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日</w:t>
      </w:r>
      <w:r>
        <w:rPr>
          <w:rFonts w:ascii="方正仿宋_GB2312;方正仿宋_GB2312" w:hAnsi="方正仿宋_GB2312;方正仿宋_GB2312" w:cs="方正仿宋_GB2312;方正仿宋_GB2312" w:eastAsia="方正仿宋_GB2312;方正仿宋_GB2312"/>
          <w:color w:val="000000"/>
          <w:kern w:val="0"/>
          <w:sz w:val="24"/>
          <w:szCs w:val="24"/>
        </w:rPr>
        <w:t>取得现售备案证明文件</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证号为</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p>
    <w:p>
      <w:pPr>
        <w:pStyle w:val="Normal"/>
        <w:keepNext w:val="false"/>
        <w:keepLines w:val="false"/>
        <w:pageBreakBefore w:val="false"/>
        <w:widowControl w:val="false"/>
        <w:kinsoku w:val="true"/>
        <w:overflowPunct w:val="true"/>
        <w:autoSpaceDE w:val="false"/>
        <w:bidi w:val="0"/>
        <w:snapToGrid w:val="true"/>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lang w:val="en-US" w:eastAsia="zh-CN"/>
        </w:rPr>
      </w:pP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，备案机构名称为</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 xml:space="preserve">。 </w:t>
      </w:r>
    </w:p>
    <w:p>
      <w:pPr>
        <w:pStyle w:val="Style16"/>
        <w:keepNext w:val="false"/>
        <w:keepLines w:val="false"/>
        <w:pageBreakBefore w:val="false"/>
        <w:widowControl w:val="false"/>
        <w:numPr>
          <w:ilvl w:val="0"/>
          <w:numId w:val="15"/>
        </w:numPr>
        <w:kinsoku w:val="true"/>
        <w:overflowPunct w:val="true"/>
        <w:bidi w:val="0"/>
        <w:snapToGrid w:val="true"/>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是</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否</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取得不动产权证。</w:t>
      </w:r>
      <w:r>
        <w:rPr>
          <w:rFonts w:ascii="方正仿宋_GB2312;方正仿宋_GB2312" w:hAnsi="方正仿宋_GB2312;方正仿宋_GB2312" w:cs="方正仿宋_GB2312;方正仿宋_GB2312" w:eastAsia="方正仿宋_GB2312;方正仿宋_GB2312"/>
          <w:color w:val="000000"/>
          <w:kern w:val="0"/>
          <w:sz w:val="24"/>
          <w:szCs w:val="24"/>
        </w:rPr>
        <w:t>取得不动产权证</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日期为</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年</w:t>
      </w:r>
    </w:p>
    <w:p>
      <w:pPr>
        <w:pStyle w:val="Style16"/>
        <w:keepNext w:val="false"/>
        <w:keepLines w:val="false"/>
        <w:pageBreakBefore w:val="false"/>
        <w:widowControl w:val="false"/>
        <w:numPr>
          <w:ilvl w:val="0"/>
          <w:numId w:val="0"/>
        </w:numPr>
        <w:kinsoku w:val="true"/>
        <w:overflowPunct w:val="true"/>
        <w:bidi w:val="0"/>
        <w:snapToGrid w:val="true"/>
        <w:ind w:hanging="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日</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证号为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，不动产登记机构</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名称</w:t>
      </w:r>
      <w:r>
        <w:rPr>
          <w:rFonts w:ascii="方正仿宋_GB2312;方正仿宋_GB2312" w:hAnsi="方正仿宋_GB2312;方正仿宋_GB2312" w:cs="方正仿宋_GB2312;方正仿宋_GB2312" w:eastAsia="方正仿宋_GB2312;方正仿宋_GB2312"/>
          <w:color w:val="000000"/>
          <w:kern w:val="0"/>
          <w:sz w:val="24"/>
          <w:szCs w:val="24"/>
        </w:rPr>
        <w:t>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keepNext w:val="false"/>
        <w:keepLines w:val="false"/>
        <w:pageBreakBefore w:val="false"/>
        <w:widowControl w:val="false"/>
        <w:numPr>
          <w:ilvl w:val="0"/>
          <w:numId w:val="0"/>
        </w:numPr>
        <w:kinsoku w:val="true"/>
        <w:overflowPunct w:val="true"/>
        <w:autoSpaceDE w:val="false"/>
        <w:bidi w:val="0"/>
        <w:snapToGrid w:val="true"/>
        <w:ind w:firstLine="482" w:end="0"/>
        <w:textAlignment w:val="auto"/>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第四条 商品房基本情况</w:t>
      </w:r>
    </w:p>
    <w:p>
      <w:pPr>
        <w:pStyle w:val="Normal"/>
        <w:keepNext w:val="false"/>
        <w:keepLines w:val="false"/>
        <w:pageBreakBefore w:val="false"/>
        <w:widowControl w:val="false"/>
        <w:numPr>
          <w:ilvl w:val="0"/>
          <w:numId w:val="7"/>
        </w:numPr>
        <w:kinsoku w:val="true"/>
        <w:overflowPunct w:val="true"/>
        <w:autoSpaceDE w:val="false"/>
        <w:bidi w:val="0"/>
        <w:snapToGrid w:val="true"/>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该商品房的规划用途为【住宅】【办公】【商业】【</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7"/>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lang w:val="en-US" w:eastAsia="zh-CN"/>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该商品房所在建筑物的主体结构为</w:t>
      </w:r>
      <w:r>
        <w:rPr>
          <w:rFonts w:ascii="方正仿宋_GB2312;方正仿宋_GB2312" w:hAnsi="方正仿宋_GB2312;方正仿宋_GB2312" w:cs="方正仿宋_GB2312;方正仿宋_GB2312" w:eastAsia="方正仿宋_GB2312;方正仿宋_GB2312"/>
          <w:color w:val="000000"/>
          <w:sz w:val="24"/>
          <w:szCs w:val="24"/>
          <w:u w:val="none"/>
          <w:lang w:val="en-US" w:eastAsia="zh-CN"/>
        </w:rPr>
        <w:t>【钢结构】【钢、钢筋混凝土结构】【钢筋混</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凝土结构】【砖木结构】【混合结构】【</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，建筑总层数为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层，其中地上</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层，地下</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层。</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该商品房</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所在层数</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（层），所在楼栋电梯数量</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（台）。</w:t>
      </w:r>
      <w:r>
        <w:rPr>
          <w:rFonts w:ascii="方正仿宋_GB2312;方正仿宋_GB2312" w:hAnsi="方正仿宋_GB2312;方正仿宋_GB2312" w:cs="方正仿宋_GB2312;方正仿宋_GB2312" w:eastAsia="方正仿宋_GB2312;方正仿宋_GB2312"/>
          <w:color w:val="000000"/>
          <w:kern w:val="0"/>
          <w:sz w:val="24"/>
          <w:szCs w:val="24"/>
        </w:rPr>
        <w:t>该商品房</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为</w:t>
      </w:r>
      <w:r>
        <w:rPr>
          <w:rFonts w:ascii="方正仿宋_GB2312;方正仿宋_GB2312" w:hAnsi="方正仿宋_GB2312;方正仿宋_GB2312" w:cs="方正仿宋_GB2312;方正仿宋_GB2312" w:eastAsia="方正仿宋_GB2312;方正仿宋_GB2312"/>
          <w:color w:val="000000"/>
          <w:kern w:val="0"/>
          <w:sz w:val="24"/>
          <w:szCs w:val="24"/>
        </w:rPr>
        <w:t>第二条规定项目中的</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【幢】</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栋</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【座】【</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0"/>
        </w:numPr>
        <w:autoSpaceDE w:val="false"/>
        <w:ind w:hanging="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单元</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层</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【室】【号】【间】【</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不动产单元号为</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该商品房</w:t>
      </w:r>
      <w:r>
        <w:rPr>
          <w:rFonts w:ascii="方正仿宋_GB2312;方正仿宋_GB2312" w:hAnsi="方正仿宋_GB2312;方正仿宋_GB2312" w:cs="方正仿宋_GB2312;方正仿宋_GB2312" w:eastAsia="方正仿宋_GB2312;方正仿宋_GB2312"/>
          <w:color w:val="000000"/>
          <w:sz w:val="24"/>
          <w:szCs w:val="32"/>
          <w:lang w:val="en-US" w:eastAsia="zh-CN"/>
        </w:rPr>
        <w:t>户型为</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【室】</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【厅】</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【厨】</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【卫】</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】，户型结构为【平层】【错层】【复式楼】【跃层】【</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】，房屋朝向为【东】【西】【南】【北】【东北】【东南】【西北】【西南】【</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】，房屋用途为【成套住宅】【别墅】【公寓】【非成套住宅】【集体宿舍】【工业】【商业服务】【办公】【</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】，房屋性质为【市场化商品房】【动迁房】【配套商品房】【限价普通商品住房】【经济适用住房】【定销商品房】【集资建房】【</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】，房屋类型为【住宅】【商业用房】【办公用房】【工业用房】【仓储用房】【车库】【</w:t>
      </w:r>
      <w:r>
        <w:rPr>
          <w:rFonts w:ascii="方正仿宋_GB2312;方正仿宋_GB2312" w:hAnsi="方正仿宋_GB2312;方正仿宋_GB2312" w:cs="方正仿宋_GB2312;方正仿宋_GB2312" w:eastAsia="方正仿宋_GB2312;方正仿宋_GB2312"/>
          <w:color w:val="000000"/>
          <w:sz w:val="24"/>
          <w:szCs w:val="32"/>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szCs w:val="32"/>
          <w:u w:val="none"/>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该商品房的平面图见附件一。</w:t>
      </w:r>
    </w:p>
    <w:p>
      <w:pPr>
        <w:pStyle w:val="Normal"/>
        <w:numPr>
          <w:ilvl w:val="0"/>
          <w:numId w:val="7"/>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该商品房的房产测绘机构为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，资质证书号</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，其实测建筑面积共</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平方米，其中套内建筑面积</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平方米，分摊共有建筑面积</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平方米。该商品房共用部位见附件二。</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该商品房层高为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米，有</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个阳台，其中</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个阳台为封闭式，</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个阳台为非封闭式。阳台是否封闭以城乡规划主管部门审定的建设工程设计方案为准。</w:t>
      </w:r>
    </w:p>
    <w:p>
      <w:pPr>
        <w:pStyle w:val="Normal"/>
        <w:numPr>
          <w:ilvl w:val="0"/>
          <w:numId w:val="7"/>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该商品房的施工图设计文件审查机构为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，施工图设计文件审查合格证书编号</w:t>
      </w:r>
      <w:r>
        <w:rPr>
          <w:rFonts w:ascii="方正仿宋_GB2312;方正仿宋_GB2312" w:hAnsi="方正仿宋_GB2312;方正仿宋_GB2312" w:cs="方正仿宋_GB2312;方正仿宋_GB2312" w:eastAsia="方正仿宋_GB2312;方正仿宋_GB2312"/>
          <w:color w:val="000000"/>
          <w:kern w:val="0"/>
          <w:sz w:val="24"/>
          <w:szCs w:val="24"/>
          <w:lang w:val="en-US"/>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，绿色建筑等级为【一星】【二星】【三星】【</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7"/>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有出售（或赠送、出租）车位、车库或者停车设施的，有关该物业买卖、赠予、租赁合同事项，双方另行约定于附件十</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一</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7"/>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有出售（或赠送、出租）储藏室、绿地或其他物业的，有关该物业买卖、赠予、租赁合同事项，双方另行约定于附件十</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二</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第五条 抵押情况</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与该商品房有关的抵押情况为【抵押】【未抵押】。</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val="false"/>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抵押</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范围</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，抵押人：</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val="false"/>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抵押权人：</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，抵押登记机构：</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val="false"/>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抵押登记日期：</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，债务履行期限：</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抵押权人同意该商品房转让的证明及关于抵押的相关约定见附件三。</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第六条 租赁情况</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该商品房的租赁情况为【出租】【未出租】。</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出卖人已将该商品房出租，【买受人为该商品房承租人】【承租人放弃优先购买权】。</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租赁期限：从</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日至</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日。出卖人与买受人经协商一致，自本合同约定的交付日至租赁期限届满期间的房屋收益归【出卖人】【买受人】所有。</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出卖人提供的承租人放弃优先购买权的声明见附件四。</w:t>
      </w:r>
    </w:p>
    <w:p>
      <w:pPr>
        <w:pStyle w:val="Normal"/>
        <w:numPr>
          <w:ilvl w:val="0"/>
          <w:numId w:val="17"/>
        </w:numPr>
        <w:autoSpaceDE w:val="false"/>
        <w:ind w:firstLine="482" w:start="0"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房屋权利状况承诺</w:t>
      </w:r>
    </w:p>
    <w:p>
      <w:pPr>
        <w:pStyle w:val="Normal"/>
        <w:numPr>
          <w:ilvl w:val="0"/>
          <w:numId w:val="9"/>
        </w:numPr>
        <w:autoSpaceDE w:val="true"/>
        <w:ind w:firstLine="480" w:start="0" w:end="0"/>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lang w:val="en-US"/>
        </w:rPr>
      </w:pPr>
      <w:r>
        <w:rPr>
          <w:rFonts w:ascii="方正仿宋_GB2312;方正仿宋_GB2312" w:hAnsi="方正仿宋_GB2312;方正仿宋_GB2312" w:cs="方正仿宋_GB2312;方正仿宋_GB2312" w:eastAsia="方正仿宋_GB2312;方正仿宋_GB2312"/>
          <w:color w:val="000000"/>
          <w:kern w:val="0"/>
          <w:sz w:val="24"/>
          <w:szCs w:val="24"/>
        </w:rPr>
        <w:t>出卖人对该商品房享有合法权利；</w:t>
      </w:r>
    </w:p>
    <w:p>
      <w:pPr>
        <w:pStyle w:val="Normal"/>
        <w:numPr>
          <w:ilvl w:val="0"/>
          <w:numId w:val="9"/>
        </w:numPr>
        <w:ind w:firstLine="480" w:start="0" w:end="0"/>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lang w:val="en-US"/>
        </w:rPr>
      </w:pPr>
      <w:r>
        <w:rPr>
          <w:rFonts w:ascii="方正仿宋_GB2312;方正仿宋_GB2312" w:hAnsi="方正仿宋_GB2312;方正仿宋_GB2312" w:cs="方正仿宋_GB2312;方正仿宋_GB2312" w:eastAsia="方正仿宋_GB2312;方正仿宋_GB2312"/>
          <w:color w:val="000000"/>
          <w:kern w:val="0"/>
          <w:sz w:val="24"/>
          <w:szCs w:val="24"/>
          <w:lang w:val="en-US"/>
        </w:rPr>
        <w:t>该商品房没有出售给除本合同买受人以外的其他人；</w:t>
      </w:r>
    </w:p>
    <w:p>
      <w:pPr>
        <w:pStyle w:val="Style16"/>
        <w:numPr>
          <w:ilvl w:val="0"/>
          <w:numId w:val="9"/>
        </w:numPr>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lang w:val="en-US"/>
        </w:rPr>
      </w:pPr>
      <w:r>
        <w:rPr>
          <w:rFonts w:ascii="方正仿宋_GB2312;方正仿宋_GB2312" w:hAnsi="方正仿宋_GB2312;方正仿宋_GB2312" w:cs="方正仿宋_GB2312;方正仿宋_GB2312" w:eastAsia="方正仿宋_GB2312;方正仿宋_GB2312"/>
          <w:color w:val="000000"/>
          <w:kern w:val="0"/>
          <w:sz w:val="24"/>
          <w:szCs w:val="24"/>
          <w:lang w:val="en-US"/>
        </w:rPr>
        <w:t>该商品房没有司法查封或其他限制转让的情况；</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eastAsia="方正仿宋_GB2312;方正仿宋_GB2312" w:cs="方正仿宋_GB2312;方正仿宋_GB2312" w:ascii="方正仿宋_GB2312;方正仿宋_GB2312" w:hAnsi="方正仿宋_GB2312;方正仿宋_GB2312"/>
          <w:color w:val="000000"/>
          <w:kern w:val="0"/>
          <w:sz w:val="24"/>
          <w:szCs w:val="24"/>
        </w:rPr>
        <w:t>4.</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5.</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keepNext w:val="false"/>
        <w:keepLines w:val="false"/>
        <w:pageBreakBefore w:val="false"/>
        <w:widowControl w:val="false"/>
        <w:kinsoku w:val="true"/>
        <w:overflowPunct w:val="true"/>
        <w:autoSpaceDE w:val="false"/>
        <w:bidi w:val="0"/>
        <w:snapToGrid w:val="true"/>
        <w:ind w:firstLine="48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如该商品房权利状况与上述情况不符，导致不能在房产管理部门办理房屋交易确认以及不能在不动产登记部门办理不动产登记的，买受人有权解除合同。买受人解除合同的，应当书面通知出卖人。出卖人应当自解除合同通知送达之日起</w:t>
      </w:r>
      <w:r>
        <w:rPr>
          <w:rFonts w:eastAsia="方正仿宋_GB2312;方正仿宋_GB2312" w:cs="方正仿宋_GB2312;方正仿宋_GB2312" w:ascii="方正仿宋_GB2312;方正仿宋_GB2312" w:hAnsi="方正仿宋_GB2312;方正仿宋_GB2312"/>
          <w:color w:val="000000"/>
          <w:kern w:val="0"/>
          <w:sz w:val="24"/>
          <w:szCs w:val="24"/>
        </w:rPr>
        <w:t>15</w:t>
      </w:r>
      <w:r>
        <w:rPr>
          <w:rFonts w:ascii="方正仿宋_GB2312;方正仿宋_GB2312" w:hAnsi="方正仿宋_GB2312;方正仿宋_GB2312" w:cs="方正仿宋_GB2312;方正仿宋_GB2312" w:eastAsia="方正仿宋_GB2312;方正仿宋_GB2312"/>
          <w:color w:val="000000"/>
          <w:kern w:val="0"/>
          <w:sz w:val="24"/>
          <w:szCs w:val="24"/>
        </w:rPr>
        <w:t>日内退还买受人已付全部房款（含已付贷款部分），并自买受人付款之日起，按照</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shd w:fill="auto" w:val="clear"/>
        </w:rPr>
        <w:t>不低于</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shd w:fill="auto" w:val="clear"/>
        </w:rPr>
        <w:t>合同签订日相应期限的贷款市场报价利率（</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shd w:fill="auto" w:val="clear"/>
        </w:rPr>
        <w:t>LPR</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shd w:fill="auto" w:val="clear"/>
        </w:rPr>
        <w:t>）</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shd w:fill="auto" w:val="clear"/>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计算给付利息。给买受人造成损失的，由出卖人支付【已付房价款一倍】【买受人全部损失】的赔偿金。</w:t>
      </w:r>
    </w:p>
    <w:p>
      <w:pPr>
        <w:pStyle w:val="Normal"/>
        <w:autoSpaceDE w:val="false"/>
        <w:spacing w:before="221" w:after="221"/>
        <w:jc w:val="center"/>
        <w:rPr>
          <w:rFonts w:ascii="Times New Roman" w:hAnsi="Times New Roman" w:eastAsia="黑体" w:cs="Times New Roman"/>
          <w:color w:val="000000"/>
          <w:kern w:val="0"/>
          <w:sz w:val="28"/>
          <w:szCs w:val="28"/>
          <w:highlight w:val="none"/>
        </w:rPr>
      </w:pPr>
      <w:r>
        <w:rPr>
          <w:rFonts w:ascii="Times New Roman" w:hAnsi="Times New Roman" w:cs="Times New Roman" w:eastAsia="黑体"/>
          <w:color w:val="000000"/>
          <w:kern w:val="0"/>
          <w:sz w:val="28"/>
          <w:szCs w:val="28"/>
        </w:rPr>
        <w:t>第三章</w:t>
      </w:r>
      <w:r>
        <w:rPr>
          <w:rFonts w:ascii="Times New Roman" w:hAnsi="Times New Roman" w:cs="Times New Roman" w:eastAsia="Times New Roman"/>
          <w:color w:val="000000"/>
          <w:kern w:val="0"/>
          <w:sz w:val="28"/>
          <w:szCs w:val="28"/>
          <w:lang w:val="en-US" w:eastAsia="zh-CN"/>
        </w:rPr>
        <w:t xml:space="preserve"> </w:t>
      </w:r>
      <w:r>
        <w:rPr>
          <w:rFonts w:ascii="Times New Roman" w:hAnsi="Times New Roman" w:cs="Times New Roman" w:eastAsia="黑体"/>
          <w:color w:val="000000"/>
          <w:kern w:val="0"/>
          <w:sz w:val="28"/>
          <w:szCs w:val="28"/>
        </w:rPr>
        <w:t>商品房价款</w:t>
      </w:r>
    </w:p>
    <w:p>
      <w:pPr>
        <w:pStyle w:val="Normal"/>
        <w:keepNext w:val="false"/>
        <w:keepLines w:val="false"/>
        <w:pageBreakBefore w:val="false"/>
        <w:numPr>
          <w:ilvl w:val="0"/>
          <w:numId w:val="0"/>
        </w:numPr>
        <w:kinsoku w:val="true"/>
        <w:overflowPunct w:val="true"/>
        <w:autoSpaceDE w:val="false"/>
        <w:bidi w:val="0"/>
        <w:snapToGrid w:val="true"/>
        <w:spacing w:lineRule="auto" w:line="240"/>
        <w:ind w:firstLine="482" w:end="0"/>
        <w:textAlignment w:val="auto"/>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第八条 计价方式与价款</w:t>
      </w:r>
    </w:p>
    <w:p>
      <w:pPr>
        <w:pStyle w:val="Normal"/>
        <w:keepNext w:val="false"/>
        <w:keepLines w:val="false"/>
        <w:pageBreakBefore w:val="false"/>
        <w:numPr>
          <w:ilvl w:val="0"/>
          <w:numId w:val="0"/>
        </w:numPr>
        <w:kinsoku w:val="true"/>
        <w:overflowPunct w:val="true"/>
        <w:autoSpaceDE w:val="false"/>
        <w:bidi w:val="0"/>
        <w:snapToGrid w:val="true"/>
        <w:spacing w:lineRule="auto" w:line="240"/>
        <w:ind w:firstLine="480" w:start="0" w:end="0"/>
        <w:textAlignment w:val="auto"/>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lang w:val="en-US" w:eastAsia="zh-CN"/>
        </w:rPr>
      </w:pPr>
      <w:r>
        <w:rPr>
          <w:rFonts w:ascii="方正仿宋_GB2312;方正仿宋_GB2312" w:hAnsi="方正仿宋_GB2312;方正仿宋_GB2312" w:cs="方正仿宋_GB2312;方正仿宋_GB2312" w:eastAsia="方正仿宋_GB2312;方正仿宋_GB2312"/>
          <w:color w:val="000000"/>
          <w:kern w:val="0"/>
          <w:sz w:val="24"/>
          <w:szCs w:val="24"/>
        </w:rPr>
        <w:t>（一）出卖人与买受人按照下列第</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种方式计算该商品房价款：</w:t>
      </w:r>
    </w:p>
    <w:p>
      <w:pPr>
        <w:pStyle w:val="Normal"/>
        <w:keepNext w:val="false"/>
        <w:keepLines w:val="false"/>
        <w:pageBreakBefore w:val="false"/>
        <w:numPr>
          <w:ilvl w:val="0"/>
          <w:numId w:val="24"/>
        </w:numPr>
        <w:kinsoku w:val="true"/>
        <w:overflowPunct w:val="true"/>
        <w:autoSpaceDE w:val="false"/>
        <w:bidi w:val="0"/>
        <w:snapToGrid w:val="true"/>
        <w:spacing w:lineRule="auto" w:line="240"/>
        <w:ind w:firstLine="480" w:start="0" w:end="0"/>
        <w:textAlignment w:val="auto"/>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按照套内建筑面积计算，该商品房单价为每平方米</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元，总价款为</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w:t>
      </w:r>
      <w:r>
        <w:rPr>
          <w:rFonts w:ascii="方正仿宋_GB2312;方正仿宋_GB2312" w:hAnsi="方正仿宋_GB2312;方正仿宋_GB2312" w:cs="方正仿宋_GB2312;方正仿宋_GB2312" w:eastAsia="方正仿宋_GB2312;方正仿宋_GB2312"/>
          <w:sz w:val="24"/>
          <w:szCs w:val="24"/>
        </w:rPr>
        <w:t>大写：</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none"/>
          <w:lang w:val="en-US" w:eastAsia="zh-CN"/>
        </w:rPr>
        <w:t>亿</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仟</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拾</w:t>
      </w:r>
    </w:p>
    <w:p>
      <w:pPr>
        <w:pStyle w:val="Normal"/>
        <w:keepNext w:val="false"/>
        <w:keepLines w:val="false"/>
        <w:pageBreakBefore w:val="false"/>
        <w:numPr>
          <w:ilvl w:val="0"/>
          <w:numId w:val="0"/>
        </w:numPr>
        <w:kinsoku w:val="true"/>
        <w:overflowPunct w:val="true"/>
        <w:autoSpaceDE w:val="false"/>
        <w:bidi w:val="0"/>
        <w:snapToGrid w:val="true"/>
        <w:spacing w:lineRule="auto" w:line="240"/>
        <w:ind w:hanging="0" w:start="0" w:end="0"/>
        <w:textAlignment w:val="auto"/>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rPr>
        <w:t>万</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仟</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拾</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元整）</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keepNext w:val="false"/>
        <w:keepLines w:val="false"/>
        <w:pageBreakBefore w:val="false"/>
        <w:numPr>
          <w:ilvl w:val="0"/>
          <w:numId w:val="24"/>
        </w:numPr>
        <w:kinsoku w:val="true"/>
        <w:overflowPunct w:val="true"/>
        <w:autoSpaceDE w:val="false"/>
        <w:bidi w:val="0"/>
        <w:snapToGrid w:val="true"/>
        <w:spacing w:lineRule="auto" w:line="240"/>
        <w:ind w:firstLine="480" w:start="0" w:end="0"/>
        <w:textAlignment w:val="auto"/>
        <w:rPr>
          <w:rFonts w:ascii="方正仿宋_GB2312;方正仿宋_GB2312" w:hAnsi="方正仿宋_GB2312;方正仿宋_GB2312" w:eastAsia="方正仿宋_GB2312;方正仿宋_GB2312" w:cs="方正仿宋_GB2312;方正仿宋_GB2312"/>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按照建筑面积计算，该商品房单价为每平方米</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元，总价款为</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w:t>
      </w:r>
      <w:r>
        <w:rPr>
          <w:rFonts w:ascii="方正仿宋_GB2312;方正仿宋_GB2312" w:hAnsi="方正仿宋_GB2312;方正仿宋_GB2312" w:cs="方正仿宋_GB2312;方正仿宋_GB2312" w:eastAsia="方正仿宋_GB2312;方正仿宋_GB2312"/>
          <w:sz w:val="24"/>
          <w:szCs w:val="24"/>
        </w:rPr>
        <w:t>大写：</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none"/>
          <w:lang w:val="en-US" w:eastAsia="zh-CN"/>
        </w:rPr>
        <w:t>亿</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仟</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拾</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万</w:t>
      </w:r>
    </w:p>
    <w:p>
      <w:pPr>
        <w:pStyle w:val="Normal"/>
        <w:keepNext w:val="false"/>
        <w:keepLines w:val="false"/>
        <w:pageBreakBefore w:val="false"/>
        <w:numPr>
          <w:ilvl w:val="0"/>
          <w:numId w:val="0"/>
        </w:numPr>
        <w:kinsoku w:val="true"/>
        <w:overflowPunct w:val="true"/>
        <w:autoSpaceDE w:val="false"/>
        <w:bidi w:val="0"/>
        <w:snapToGrid w:val="true"/>
        <w:spacing w:lineRule="auto" w:line="240"/>
        <w:ind w:hanging="0" w:start="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仟</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拾</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元整）</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keepNext w:val="false"/>
        <w:keepLines w:val="false"/>
        <w:pageBreakBefore w:val="false"/>
        <w:numPr>
          <w:ilvl w:val="0"/>
          <w:numId w:val="24"/>
        </w:numPr>
        <w:kinsoku w:val="true"/>
        <w:overflowPunct w:val="true"/>
        <w:autoSpaceDE w:val="false"/>
        <w:bidi w:val="0"/>
        <w:snapToGrid w:val="true"/>
        <w:spacing w:lineRule="auto" w:line="24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按照套计算，该商品房总价款为</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w:t>
      </w:r>
      <w:r>
        <w:rPr>
          <w:rFonts w:ascii="方正仿宋_GB2312;方正仿宋_GB2312" w:hAnsi="方正仿宋_GB2312;方正仿宋_GB2312" w:cs="方正仿宋_GB2312;方正仿宋_GB2312" w:eastAsia="方正仿宋_GB2312;方正仿宋_GB2312"/>
          <w:sz w:val="24"/>
          <w:szCs w:val="24"/>
        </w:rPr>
        <w:t>大写：</w:t>
      </w:r>
    </w:p>
    <w:p>
      <w:pPr>
        <w:pStyle w:val="Normal"/>
        <w:keepNext w:val="false"/>
        <w:keepLines w:val="false"/>
        <w:pageBreakBefore w:val="false"/>
        <w:numPr>
          <w:ilvl w:val="0"/>
          <w:numId w:val="0"/>
        </w:numPr>
        <w:kinsoku w:val="true"/>
        <w:overflowPunct w:val="true"/>
        <w:autoSpaceDE w:val="false"/>
        <w:bidi w:val="0"/>
        <w:snapToGrid w:val="true"/>
        <w:spacing w:lineRule="auto" w:line="240"/>
        <w:ind w:hanging="0" w:start="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none"/>
          <w:lang w:val="en-US" w:eastAsia="zh-CN"/>
        </w:rPr>
        <w:t>亿</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仟</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拾</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万</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仟</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拾</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元整）</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keepNext w:val="false"/>
        <w:keepLines w:val="false"/>
        <w:pageBreakBefore w:val="false"/>
        <w:numPr>
          <w:ilvl w:val="0"/>
          <w:numId w:val="24"/>
        </w:numPr>
        <w:kinsoku w:val="true"/>
        <w:overflowPunct w:val="true"/>
        <w:autoSpaceDE w:val="false"/>
        <w:bidi w:val="0"/>
        <w:snapToGrid w:val="true"/>
        <w:spacing w:lineRule="auto" w:line="24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按照</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算，该商品房总价款为</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w:t>
      </w:r>
      <w:r>
        <w:rPr>
          <w:rFonts w:ascii="方正仿宋_GB2312;方正仿宋_GB2312" w:hAnsi="方正仿宋_GB2312;方正仿宋_GB2312" w:cs="方正仿宋_GB2312;方正仿宋_GB2312" w:eastAsia="方正仿宋_GB2312;方正仿宋_GB2312"/>
          <w:sz w:val="24"/>
          <w:szCs w:val="24"/>
        </w:rPr>
        <w:t>大写：</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none"/>
          <w:lang w:val="en-US" w:eastAsia="zh-CN"/>
        </w:rPr>
        <w:t>亿</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仟</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拾</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万</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仟</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拾</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元整）</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widowControl/>
        <w:autoSpaceDE w:val="false"/>
        <w:spacing w:lineRule="auto" w:line="240"/>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二</w:t>
      </w:r>
      <w:r>
        <w:rPr>
          <w:rFonts w:ascii="方正仿宋_GB2312;方正仿宋_GB2312" w:hAnsi="方正仿宋_GB2312;方正仿宋_GB2312" w:cs="方正仿宋_GB2312;方正仿宋_GB2312" w:eastAsia="方正仿宋_GB2312;方正仿宋_GB2312"/>
          <w:color w:val="000000"/>
          <w:kern w:val="0"/>
          <w:sz w:val="24"/>
          <w:szCs w:val="24"/>
        </w:rPr>
        <w:t>）按照物业管理有关法规、规章规定，需要交纳新建物业专项维修资金的，交纳标准以相关部门确定并经当地政府批准后公布的标准为准。该款项未包含在商品房价款中，由出卖人统一代交，在商品房交付时向买受人收取。</w:t>
      </w:r>
    </w:p>
    <w:p>
      <w:pPr>
        <w:pStyle w:val="Normal"/>
        <w:keepNext w:val="false"/>
        <w:keepLines w:val="false"/>
        <w:pageBreakBefore w:val="false"/>
        <w:numPr>
          <w:ilvl w:val="0"/>
          <w:numId w:val="0"/>
        </w:numPr>
        <w:kinsoku w:val="true"/>
        <w:overflowPunct w:val="true"/>
        <w:autoSpaceDE w:val="false"/>
        <w:bidi w:val="0"/>
        <w:snapToGrid w:val="true"/>
        <w:spacing w:lineRule="exact" w:line="500"/>
        <w:ind w:firstLine="482" w:end="0"/>
        <w:textAlignment w:val="auto"/>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第九条 付款方式及期限</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00"/>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一</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签订本合同前，买受人已向出卖人支付定金</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w:t>
      </w:r>
      <w:r>
        <w:rPr>
          <w:rFonts w:ascii="方正仿宋_GB2312;方正仿宋_GB2312" w:hAnsi="方正仿宋_GB2312;方正仿宋_GB2312" w:cs="方正仿宋_GB2312;方正仿宋_GB2312" w:eastAsia="方正仿宋_GB2312;方正仿宋_GB2312"/>
          <w:sz w:val="24"/>
          <w:szCs w:val="24"/>
        </w:rPr>
        <w:t>大写：</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none"/>
          <w:lang w:val="en-US" w:eastAsia="zh-CN"/>
        </w:rPr>
        <w:t>亿</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仟</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拾</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万</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仟</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拾</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元整）</w:t>
      </w:r>
      <w:r>
        <w:rPr>
          <w:rFonts w:ascii="方正仿宋_GB2312;方正仿宋_GB2312" w:hAnsi="方正仿宋_GB2312;方正仿宋_GB2312" w:cs="方正仿宋_GB2312;方正仿宋_GB2312" w:eastAsia="方正仿宋_GB2312;方正仿宋_GB2312"/>
          <w:color w:val="000000"/>
          <w:kern w:val="0"/>
          <w:sz w:val="24"/>
          <w:szCs w:val="24"/>
        </w:rPr>
        <w:t>，该定金于【本合同签订】【交付首期房价款】【</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】时【抵作商品房价款】【返还买受人】。</w:t>
      </w:r>
    </w:p>
    <w:p>
      <w:pPr>
        <w:pStyle w:val="Normal"/>
        <w:keepNext w:val="false"/>
        <w:keepLines w:val="false"/>
        <w:pageBreakBefore w:val="false"/>
        <w:widowControl w:val="false"/>
        <w:numPr>
          <w:ilvl w:val="0"/>
          <w:numId w:val="0"/>
        </w:numPr>
        <w:kinsoku w:val="true"/>
        <w:overflowPunct w:val="true"/>
        <w:autoSpaceDE w:val="false"/>
        <w:bidi w:val="0"/>
        <w:snapToGrid w:val="true"/>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（二）买受人采取下列第</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种方式付款：</w:t>
      </w:r>
    </w:p>
    <w:p>
      <w:pPr>
        <w:pStyle w:val="Normal"/>
        <w:keepNext w:val="false"/>
        <w:keepLines w:val="false"/>
        <w:pageBreakBefore w:val="false"/>
        <w:widowControl w:val="false"/>
        <w:numPr>
          <w:ilvl w:val="0"/>
          <w:numId w:val="21"/>
        </w:numPr>
        <w:kinsoku w:val="true"/>
        <w:overflowPunct w:val="true"/>
        <w:autoSpaceDE w:val="false"/>
        <w:bidi w:val="0"/>
        <w:snapToGrid w:val="true"/>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一次性付款。买受人应当在</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日前支付该商品房全部价款。</w:t>
      </w:r>
    </w:p>
    <w:p>
      <w:pPr>
        <w:pStyle w:val="Normal"/>
        <w:keepNext w:val="false"/>
        <w:keepLines w:val="false"/>
        <w:pageBreakBefore w:val="false"/>
        <w:widowControl w:val="false"/>
        <w:numPr>
          <w:ilvl w:val="0"/>
          <w:numId w:val="21"/>
        </w:numPr>
        <w:kinsoku w:val="true"/>
        <w:overflowPunct w:val="true"/>
        <w:autoSpaceDE w:val="false"/>
        <w:bidi w:val="0"/>
        <w:snapToGrid w:val="true"/>
        <w:ind w:firstLine="480" w:start="0" w:end="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分期付款。买受人应当在</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日前分</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期支付该商品房全部价款，首期房价款</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w:t>
      </w:r>
      <w:r>
        <w:rPr>
          <w:rFonts w:ascii="方正仿宋_GB2312;方正仿宋_GB2312" w:hAnsi="方正仿宋_GB2312;方正仿宋_GB2312" w:cs="方正仿宋_GB2312;方正仿宋_GB2312" w:eastAsia="方正仿宋_GB2312;方正仿宋_GB2312"/>
          <w:sz w:val="24"/>
          <w:szCs w:val="24"/>
        </w:rPr>
        <w:t>大写：</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none"/>
          <w:lang w:val="en-US" w:eastAsia="zh-CN"/>
        </w:rPr>
        <w:t>亿</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仟</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拾</w:t>
      </w:r>
    </w:p>
    <w:p>
      <w:pPr>
        <w:pStyle w:val="Normal"/>
        <w:keepNext w:val="false"/>
        <w:keepLines w:val="false"/>
        <w:pageBreakBefore w:val="false"/>
        <w:widowControl w:val="false"/>
        <w:numPr>
          <w:ilvl w:val="0"/>
          <w:numId w:val="0"/>
        </w:numPr>
        <w:kinsoku w:val="true"/>
        <w:overflowPunct w:val="true"/>
        <w:autoSpaceDE w:val="false"/>
        <w:bidi w:val="0"/>
        <w:snapToGrid w:val="true"/>
        <w:ind w:hanging="0" w:start="0"/>
        <w:textAlignment w:val="auto"/>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万</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仟</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拾</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元整）</w:t>
      </w:r>
      <w:r>
        <w:rPr>
          <w:rFonts w:ascii="方正仿宋_GB2312;方正仿宋_GB2312" w:hAnsi="方正仿宋_GB2312;方正仿宋_GB2312" w:cs="方正仿宋_GB2312;方正仿宋_GB2312" w:eastAsia="方正仿宋_GB2312;方正仿宋_GB2312"/>
          <w:color w:val="000000"/>
          <w:kern w:val="0"/>
          <w:sz w:val="24"/>
          <w:szCs w:val="24"/>
        </w:rPr>
        <w:t>，应当于</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日前支付。</w:t>
      </w:r>
    </w:p>
    <w:p>
      <w:pPr>
        <w:pStyle w:val="Normal"/>
        <w:autoSpaceDE w:val="false"/>
        <w:ind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21"/>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贷款方式付款：【公积金贷款】【商业贷款】【公积金、商业组合贷款】【</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rPr>
        <w:t>】。</w:t>
      </w:r>
      <w:r>
        <w:rPr>
          <w:rFonts w:ascii="方正仿宋_GB2312;方正仿宋_GB2312" w:hAnsi="方正仿宋_GB2312;方正仿宋_GB2312" w:cs="方正仿宋_GB2312;方正仿宋_GB2312" w:eastAsia="方正仿宋_GB2312;方正仿宋_GB2312"/>
          <w:color w:val="000000"/>
          <w:kern w:val="0"/>
          <w:sz w:val="24"/>
          <w:szCs w:val="24"/>
        </w:rPr>
        <w:t>买受人应当于</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日前支付首期房价款</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w:t>
      </w:r>
      <w:r>
        <w:rPr>
          <w:rFonts w:ascii="方正仿宋_GB2312;方正仿宋_GB2312" w:hAnsi="方正仿宋_GB2312;方正仿宋_GB2312" w:cs="方正仿宋_GB2312;方正仿宋_GB2312" w:eastAsia="方正仿宋_GB2312;方正仿宋_GB2312"/>
          <w:sz w:val="24"/>
          <w:szCs w:val="24"/>
        </w:rPr>
        <w:t>大写：</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none"/>
          <w:lang w:val="en-US" w:eastAsia="zh-CN"/>
        </w:rPr>
        <w:t>亿</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仟</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rPr>
        <w:t>拾</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万</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仟</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rPr>
        <w:t>拾</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元整）</w:t>
      </w:r>
      <w:r>
        <w:rPr>
          <w:rFonts w:ascii="方正仿宋_GB2312;方正仿宋_GB2312" w:hAnsi="方正仿宋_GB2312;方正仿宋_GB2312" w:cs="方正仿宋_GB2312;方正仿宋_GB2312" w:eastAsia="方正仿宋_GB2312;方正仿宋_GB2312"/>
          <w:color w:val="000000"/>
          <w:kern w:val="0"/>
          <w:sz w:val="24"/>
          <w:szCs w:val="24"/>
        </w:rPr>
        <w:t>。剩余房款</w:t>
      </w:r>
    </w:p>
    <w:p>
      <w:pPr>
        <w:pStyle w:val="Normal"/>
        <w:numPr>
          <w:ilvl w:val="0"/>
          <w:numId w:val="0"/>
        </w:numPr>
        <w:autoSpaceDE w:val="false"/>
        <w:ind w:hanging="1200" w:start="1200" w:end="0"/>
        <w:rPr>
          <w:rFonts w:ascii="方正仿宋_GB2312;方正仿宋_GB2312" w:hAnsi="方正仿宋_GB2312;方正仿宋_GB2312" w:eastAsia="方正仿宋_GB2312;方正仿宋_GB2312" w:cs="方正仿宋_GB2312;方正仿宋_GB2312"/>
          <w:sz w:val="24"/>
          <w:szCs w:val="24"/>
          <w:highlight w:val="none"/>
          <w:u w:val="single"/>
        </w:rPr>
      </w:pP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w:t>
      </w:r>
      <w:r>
        <w:rPr>
          <w:rFonts w:ascii="方正仿宋_GB2312;方正仿宋_GB2312" w:hAnsi="方正仿宋_GB2312;方正仿宋_GB2312" w:cs="方正仿宋_GB2312;方正仿宋_GB2312" w:eastAsia="方正仿宋_GB2312;方正仿宋_GB2312"/>
          <w:sz w:val="24"/>
          <w:szCs w:val="24"/>
        </w:rPr>
        <w:t>大写：</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none"/>
          <w:lang w:val="en-US" w:eastAsia="zh-CN"/>
        </w:rPr>
        <w:t>亿</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仟</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rPr>
        <w:t>拾</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万</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仟</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rPr>
        <w:t>佰</w:t>
      </w:r>
      <w:r>
        <w:rPr>
          <w:rFonts w:ascii="方正仿宋_GB2312;方正仿宋_GB2312" w:hAnsi="方正仿宋_GB2312;方正仿宋_GB2312" w:cs="方正仿宋_GB2312;方正仿宋_GB2312" w:eastAsia="方正仿宋_GB2312;方正仿宋_GB2312"/>
          <w:sz w:val="24"/>
          <w:szCs w:val="24"/>
          <w:u w:val="single"/>
        </w:rPr>
        <w:t xml:space="preserve">   </w:t>
      </w:r>
    </w:p>
    <w:p>
      <w:pPr>
        <w:pStyle w:val="Normal"/>
        <w:numPr>
          <w:ilvl w:val="0"/>
          <w:numId w:val="0"/>
        </w:numPr>
        <w:autoSpaceDE w:val="false"/>
        <w:ind w:hanging="1200" w:start="120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sz w:val="24"/>
          <w:szCs w:val="24"/>
        </w:rPr>
        <w:t>拾</w:t>
      </w:r>
      <w:r>
        <w:rPr>
          <w:rFonts w:ascii="方正仿宋_GB2312;方正仿宋_GB2312" w:hAnsi="方正仿宋_GB2312;方正仿宋_GB2312" w:cs="方正仿宋_GB2312;方正仿宋_GB2312" w:eastAsia="方正仿宋_GB2312;方正仿宋_GB2312"/>
          <w:sz w:val="24"/>
          <w:szCs w:val="24"/>
          <w:u w:val="single"/>
        </w:rPr>
        <w:t xml:space="preserve">    </w:t>
      </w:r>
      <w:r>
        <w:rPr>
          <w:rFonts w:ascii="方正仿宋_GB2312;方正仿宋_GB2312" w:hAnsi="方正仿宋_GB2312;方正仿宋_GB2312" w:cs="方正仿宋_GB2312;方正仿宋_GB2312" w:eastAsia="方正仿宋_GB2312;方正仿宋_GB2312"/>
          <w:sz w:val="24"/>
          <w:szCs w:val="24"/>
        </w:rPr>
        <w:t>元整）</w:t>
      </w:r>
      <w:r>
        <w:rPr>
          <w:rFonts w:ascii="方正仿宋_GB2312;方正仿宋_GB2312" w:hAnsi="方正仿宋_GB2312;方正仿宋_GB2312" w:cs="方正仿宋_GB2312;方正仿宋_GB2312" w:eastAsia="方正仿宋_GB2312;方正仿宋_GB2312"/>
          <w:color w:val="000000"/>
          <w:kern w:val="0"/>
          <w:sz w:val="24"/>
          <w:szCs w:val="24"/>
        </w:rPr>
        <w:t>由买受人申请贷款支付。买受人应当于</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w:t>
      </w:r>
    </w:p>
    <w:p>
      <w:pPr>
        <w:pStyle w:val="Normal"/>
        <w:numPr>
          <w:ilvl w:val="0"/>
          <w:numId w:val="0"/>
        </w:numPr>
        <w:autoSpaceDE w:val="false"/>
        <w:ind w:hanging="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前向贷款机构提交贷款申请材料，办理贷款审批手续。</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日前贷款没有发放或者发放的贷款不足以支付剩余房款的，按照下列约定处理：</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spacing w:before="0" w:after="0"/>
        <w:jc w:val="both"/>
        <w:rPr>
          <w:rFonts w:ascii="方正仿宋_GB2312;方正仿宋_GB2312" w:hAnsi="方正仿宋_GB2312;方正仿宋_GB2312" w:eastAsia="方正仿宋_GB2312;方正仿宋_GB2312" w:cs="方正仿宋_GB2312;方正仿宋_GB2312"/>
          <w:color w:val="000000"/>
          <w:kern w:val="0"/>
          <w:sz w:val="28"/>
          <w:szCs w:val="28"/>
          <w:highlight w:val="none"/>
          <w:lang w:val="en-US" w:eastAsia="zh-CN"/>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rPr>
        <w:t>。</w:t>
      </w:r>
    </w:p>
    <w:p>
      <w:pPr>
        <w:pStyle w:val="Normal"/>
        <w:numPr>
          <w:ilvl w:val="0"/>
          <w:numId w:val="21"/>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其他方式：</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 xml:space="preserve">                                                          </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（三）双方约定全部房价款存入以下账户：账户名称为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，开户银行为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，账号为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第十条 逾期付款责任</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一</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除不可抗力外，买受人未按照约定时间付款的，双方同意按照下列第</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种方式处理：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按照逾期时间，分别处理</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）和（</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）不作累加</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）逾期在</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日之内，买受人按日计算向出卖人支付逾期应付款万分之</w:t>
      </w:r>
      <w:ins w:id="0" w:author="张亚丹" w:date="2023-08-01T11:15:00Z">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ins>
      <w:r>
        <w:rPr>
          <w:rFonts w:ascii="方正仿宋_GB2312;方正仿宋_GB2312" w:hAnsi="方正仿宋_GB2312;方正仿宋_GB2312" w:cs="方正仿宋_GB2312;方正仿宋_GB2312" w:eastAsia="方正仿宋_GB2312;方正仿宋_GB2312"/>
          <w:color w:val="000000"/>
          <w:kern w:val="0"/>
          <w:sz w:val="24"/>
          <w:szCs w:val="24"/>
        </w:rPr>
        <w:t>的违约金。</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）逾期超过</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该期限应当与本条第（</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）项中的期限相同</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后，出卖人有权解除合同。出卖人解除合同的，应当书面通知买受人。买受人应当自解除合同通知送达之日起</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日内按照累计应付款的</w:t>
      </w:r>
      <w:r>
        <w:rPr>
          <w:rFonts w:ascii="方正仿宋_GB2312;方正仿宋_GB2312" w:hAnsi="方正仿宋_GB2312;方正仿宋_GB2312" w:cs="方正仿宋_GB2312;方正仿宋_GB2312" w:eastAsia="方正仿宋_GB2312;方正仿宋_GB2312"/>
          <w:color w:val="000000"/>
          <w:kern w:val="0"/>
          <w:sz w:val="24"/>
          <w:szCs w:val="24"/>
          <w:u w:val="single"/>
          <w:lang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rPr>
        <w:t>向出卖人支付违约金，同时，出卖人退还买受人已付全部房款（含已付贷款部分）。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出卖人不解除合同的，买受人按日计算向出卖人支付逾期应付款万分之</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u w:val="none"/>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该比率不低于第（</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）项中的比率）</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的违约金。</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本条所称逾期应付款是指依照第九条约定的到期应付款与该期实际已付款的差额；采取分期付款的，按照相应的分期应付款与该期的实际已付款的差额确定。</w:t>
      </w:r>
    </w:p>
    <w:p>
      <w:pPr>
        <w:pStyle w:val="Normal"/>
        <w:numPr>
          <w:ilvl w:val="0"/>
          <w:numId w:val="1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0"/>
        </w:numPr>
        <w:autoSpaceDE w:val="false"/>
        <w:ind w:hanging="0" w:start="0" w:end="0"/>
        <w:rPr>
          <w:rFonts w:ascii="Times New Roman" w:hAnsi="Times New Roman" w:cs="Times New Roman"/>
          <w:color w:val="000000"/>
          <w:sz w:val="24"/>
          <w:highlight w:val="none"/>
          <w:u w:val="none"/>
          <w:lang w:val="en-US" w:eastAsia="zh-CN"/>
        </w:rPr>
      </w:pPr>
      <w:r>
        <w:rPr>
          <w:rFonts w:ascii="方正仿宋_GB2312;方正仿宋_GB2312" w:hAnsi="方正仿宋_GB2312;方正仿宋_GB2312" w:cs="方正仿宋_GB2312;方正仿宋_GB2312" w:eastAsia="方正仿宋_GB2312;方正仿宋_GB2312"/>
          <w:color w:val="000000"/>
          <w:sz w:val="24"/>
          <w:lang w:val="en-US" w:eastAsia="zh-CN"/>
        </w:rPr>
        <w:t xml:space="preserve">   </w:t>
      </w:r>
      <w:r>
        <w:rPr>
          <w:rFonts w:ascii="方正仿宋_GB2312;方正仿宋_GB2312" w:hAnsi="方正仿宋_GB2312;方正仿宋_GB2312" w:cs="方正仿宋_GB2312;方正仿宋_GB2312" w:eastAsia="方正仿宋_GB2312;方正仿宋_GB2312"/>
          <w:color w:val="000000"/>
          <w:sz w:val="24"/>
          <w:lang w:val="en-US" w:eastAsia="zh-CN"/>
        </w:rPr>
        <w:t>（二）</w:t>
      </w:r>
      <w:r>
        <w:rPr>
          <w:rFonts w:ascii="方正仿宋_GB2312;方正仿宋_GB2312" w:hAnsi="方正仿宋_GB2312;方正仿宋_GB2312" w:cs="方正仿宋_GB2312;方正仿宋_GB2312" w:eastAsia="方正仿宋_GB2312;方正仿宋_GB2312"/>
          <w:b w:val="false"/>
          <w:bCs w:val="false"/>
          <w:color w:val="000000"/>
          <w:sz w:val="24"/>
          <w:lang w:val="en-US" w:eastAsia="zh-CN"/>
        </w:rPr>
        <w:t>双方【是】【否】约定解除合同权行使期限。如选择【是】，出卖人依本条解除合同的，应在解除条件成就之日起</w:t>
      </w:r>
      <w:r>
        <w:rPr>
          <w:rFonts w:ascii="方正仿宋_GB2312;方正仿宋_GB2312" w:hAnsi="方正仿宋_GB2312;方正仿宋_GB2312" w:cs="方正仿宋_GB2312;方正仿宋_GB2312" w:eastAsia="方正仿宋_GB2312;方正仿宋_GB2312"/>
          <w:b w:val="false"/>
          <w:bCs w:val="false"/>
          <w:color w:val="000000"/>
          <w:sz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sz w:val="24"/>
          <w:lang w:val="en-US" w:eastAsia="zh-CN"/>
        </w:rPr>
        <w:t>个月内行使，逾期不行使的，</w:t>
      </w:r>
      <w:r>
        <w:rPr>
          <w:rFonts w:ascii="方正仿宋_GB2312;方正仿宋_GB2312" w:hAnsi="方正仿宋_GB2312;方正仿宋_GB2312" w:cs="方正仿宋_GB2312;方正仿宋_GB2312" w:eastAsia="方正仿宋_GB2312;方正仿宋_GB2312"/>
          <w:b w:val="false"/>
          <w:bCs w:val="false"/>
          <w:color w:val="000000"/>
          <w:sz w:val="24"/>
          <w:u w:val="none"/>
          <w:lang w:val="en-US" w:eastAsia="zh-CN"/>
        </w:rPr>
        <w:t>解除权消灭。</w:t>
      </w:r>
    </w:p>
    <w:p>
      <w:pPr>
        <w:pStyle w:val="Normal"/>
        <w:autoSpaceDE w:val="false"/>
        <w:spacing w:before="221" w:after="221"/>
        <w:jc w:val="center"/>
        <w:rPr>
          <w:rFonts w:ascii="Times New Roman" w:hAnsi="Times New Roman" w:eastAsia="黑体" w:cs="Times New Roman"/>
          <w:color w:val="000000"/>
          <w:kern w:val="0"/>
          <w:sz w:val="28"/>
          <w:szCs w:val="28"/>
          <w:highlight w:val="none"/>
        </w:rPr>
      </w:pPr>
      <w:r>
        <w:rPr>
          <w:rFonts w:ascii="Times New Roman" w:hAnsi="Times New Roman" w:cs="Times New Roman" w:eastAsia="黑体"/>
          <w:color w:val="000000"/>
          <w:kern w:val="0"/>
          <w:sz w:val="28"/>
          <w:szCs w:val="28"/>
        </w:rPr>
        <w:t>第四章</w:t>
      </w:r>
      <w:r>
        <w:rPr>
          <w:rFonts w:ascii="Times New Roman" w:hAnsi="Times New Roman" w:cs="Times New Roman" w:eastAsia="Times New Roman"/>
          <w:color w:val="000000"/>
          <w:kern w:val="0"/>
          <w:sz w:val="28"/>
          <w:szCs w:val="28"/>
        </w:rPr>
        <w:t xml:space="preserve"> </w:t>
      </w:r>
      <w:r>
        <w:rPr>
          <w:rFonts w:ascii="Times New Roman" w:hAnsi="Times New Roman" w:cs="Times New Roman" w:eastAsia="黑体"/>
          <w:color w:val="000000"/>
          <w:kern w:val="0"/>
          <w:sz w:val="28"/>
          <w:szCs w:val="28"/>
        </w:rPr>
        <w:t>商品房交付条件与交付手续</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第十一条 商品房交付条件</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该商品房交付时应当符合下列第</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项所列条件：</w:t>
      </w:r>
    </w:p>
    <w:p>
      <w:pPr>
        <w:pStyle w:val="Normal"/>
        <w:numPr>
          <w:ilvl w:val="0"/>
          <w:numId w:val="1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该商品房已取得建设工程竣工验收备案证明文件；</w:t>
      </w:r>
    </w:p>
    <w:p>
      <w:pPr>
        <w:pStyle w:val="Normal"/>
        <w:numPr>
          <w:ilvl w:val="0"/>
          <w:numId w:val="1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该商品房已取得房屋实测测绘报告；</w:t>
      </w:r>
    </w:p>
    <w:p>
      <w:pPr>
        <w:pStyle w:val="Normal"/>
        <w:numPr>
          <w:ilvl w:val="0"/>
          <w:numId w:val="1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1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该商品房为住宅的，出卖人还需提供《住宅使用说明书》和《住宅质量保证书》。</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全装修住宅还应当符合下列第</w:t>
      </w:r>
      <w:r>
        <w:rPr>
          <w:rFonts w:eastAsia="方正仿宋_GB2312;方正仿宋_GB2312" w:cs="方正仿宋_GB2312;方正仿宋_GB2312" w:ascii="方正仿宋_GB2312;方正仿宋_GB2312" w:hAnsi="方正仿宋_GB2312;方正仿宋_GB2312"/>
          <w:color w:val="000000"/>
          <w:kern w:val="0"/>
          <w:sz w:val="24"/>
          <w:szCs w:val="24"/>
        </w:rPr>
        <w:t>5</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项所列条件：</w:t>
      </w:r>
    </w:p>
    <w:p>
      <w:pPr>
        <w:pStyle w:val="Normal"/>
        <w:numPr>
          <w:ilvl w:val="0"/>
          <w:numId w:val="1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none"/>
        </w:rPr>
      </w:pPr>
      <w:r>
        <w:rPr>
          <w:rFonts w:ascii="方正仿宋_GB2312;方正仿宋_GB2312" w:hAnsi="方正仿宋_GB2312;方正仿宋_GB2312" w:cs="方正仿宋_GB2312;方正仿宋_GB2312" w:eastAsia="方正仿宋_GB2312;方正仿宋_GB2312"/>
          <w:color w:val="000000"/>
          <w:kern w:val="0"/>
          <w:sz w:val="24"/>
          <w:szCs w:val="24"/>
          <w:u w:val="none"/>
        </w:rPr>
        <w:t>该商品房已取得第三方专业检测机构出具的住宅分户空气质量检测合格报告；</w:t>
      </w:r>
    </w:p>
    <w:p>
      <w:pPr>
        <w:pStyle w:val="Normal"/>
        <w:numPr>
          <w:ilvl w:val="0"/>
          <w:numId w:val="1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lang w:eastAsia="zh-CN"/>
        </w:rPr>
        <w:t>；</w:t>
      </w:r>
    </w:p>
    <w:p>
      <w:pPr>
        <w:pStyle w:val="Normal"/>
        <w:numPr>
          <w:ilvl w:val="0"/>
          <w:numId w:val="1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rPr>
        <w:t>。</w:t>
      </w:r>
    </w:p>
    <w:p>
      <w:pPr>
        <w:pStyle w:val="Normal"/>
        <w:numPr>
          <w:ilvl w:val="0"/>
          <w:numId w:val="0"/>
        </w:numPr>
        <w:autoSpaceDE w:val="false"/>
        <w:ind w:firstLine="482" w:start="0" w:end="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第十二条 商品房相关设施设备交付条件</w:t>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（一）基础设施设备</w:t>
      </w:r>
    </w:p>
    <w:p>
      <w:pPr>
        <w:pStyle w:val="Normal"/>
        <w:numPr>
          <w:ilvl w:val="0"/>
          <w:numId w:val="12"/>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供水、排水：交付时供水、排水配套设施齐全，并与城市公共供水、排水管网连接。使用自建设施供水的，供水的水质符合国家规定的饮用水卫生标准，</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12"/>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供电：交付时纳入城市供电网络并正式供电，</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12"/>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燃气：【住宅商品房交付时完成室内燃气管道的敷设，并与城市燃气管网连接，保证燃气供应，</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】【非住宅商品房</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12"/>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电话通信：交付时线路敷设到户；</w:t>
      </w:r>
    </w:p>
    <w:p>
      <w:pPr>
        <w:pStyle w:val="Normal"/>
        <w:numPr>
          <w:ilvl w:val="0"/>
          <w:numId w:val="12"/>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有线电视：交付时线路敷设到户；</w:t>
      </w:r>
    </w:p>
    <w:p>
      <w:pPr>
        <w:pStyle w:val="Normal"/>
        <w:numPr>
          <w:ilvl w:val="0"/>
          <w:numId w:val="12"/>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宽带网络：交付时线路敷设到户；</w:t>
      </w:r>
    </w:p>
    <w:p>
      <w:pPr>
        <w:pStyle w:val="Normal"/>
        <w:numPr>
          <w:ilvl w:val="0"/>
          <w:numId w:val="12"/>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供暖：</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8.</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以上第</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项由出卖人负责办理开通手续并承担相关费用；第</w:t>
      </w:r>
      <w:r>
        <w:rPr>
          <w:rFonts w:eastAsia="方正仿宋_GB2312;方正仿宋_GB2312" w:cs="方正仿宋_GB2312;方正仿宋_GB2312" w:ascii="方正仿宋_GB2312;方正仿宋_GB2312" w:hAnsi="方正仿宋_GB2312;方正仿宋_GB2312"/>
          <w:color w:val="000000"/>
          <w:kern w:val="0"/>
          <w:sz w:val="24"/>
          <w:szCs w:val="24"/>
        </w:rPr>
        <w:t>3</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4</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5</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6</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项需要买受人自行办理开通手续。</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如果在约定期限内基础设施设备未达到交付使用条件，双方同意按照下列第</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种方式处理：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）以上设施中第</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3</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项在约定交付日未达到交付条件的，出卖人按照本合同第十四条的约定承担逾期交付责任。</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lang w:val="en-US" w:eastAsia="zh-CN"/>
        </w:rPr>
      </w:pPr>
      <w:r>
        <w:rPr>
          <w:rFonts w:ascii="方正仿宋_GB2312;方正仿宋_GB2312" w:hAnsi="方正仿宋_GB2312;方正仿宋_GB2312" w:cs="方正仿宋_GB2312;方正仿宋_GB2312" w:eastAsia="方正仿宋_GB2312;方正仿宋_GB2312"/>
          <w:color w:val="000000"/>
          <w:kern w:val="0"/>
          <w:sz w:val="24"/>
          <w:szCs w:val="24"/>
        </w:rPr>
        <w:t>第</w:t>
      </w:r>
      <w:r>
        <w:rPr>
          <w:rFonts w:eastAsia="方正仿宋_GB2312;方正仿宋_GB2312" w:cs="方正仿宋_GB2312;方正仿宋_GB2312" w:ascii="方正仿宋_GB2312;方正仿宋_GB2312" w:hAnsi="方正仿宋_GB2312;方正仿宋_GB2312"/>
          <w:color w:val="000000"/>
          <w:kern w:val="0"/>
          <w:sz w:val="24"/>
          <w:szCs w:val="24"/>
        </w:rPr>
        <w:t>4</w:t>
      </w:r>
      <w:r>
        <w:rPr>
          <w:rFonts w:ascii="方正仿宋_GB2312;方正仿宋_GB2312" w:hAnsi="方正仿宋_GB2312;方正仿宋_GB2312" w:cs="方正仿宋_GB2312;方正仿宋_GB2312" w:eastAsia="方正仿宋_GB2312;方正仿宋_GB2312"/>
          <w:color w:val="000000"/>
          <w:kern w:val="0"/>
          <w:sz w:val="24"/>
          <w:szCs w:val="24"/>
        </w:rPr>
        <w:t>项未按时达到交付使用条件的，出卖人按日向买受人支付</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p>
    <w:p>
      <w:pPr>
        <w:pStyle w:val="Normal"/>
        <w:autoSpaceDE w:val="false"/>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元的违约金；第</w:t>
      </w:r>
      <w:r>
        <w:rPr>
          <w:rFonts w:eastAsia="方正仿宋_GB2312;方正仿宋_GB2312" w:cs="方正仿宋_GB2312;方正仿宋_GB2312" w:ascii="方正仿宋_GB2312;方正仿宋_GB2312" w:hAnsi="方正仿宋_GB2312;方正仿宋_GB2312"/>
          <w:color w:val="000000"/>
          <w:kern w:val="0"/>
          <w:sz w:val="24"/>
          <w:szCs w:val="24"/>
        </w:rPr>
        <w:t>5</w:t>
      </w:r>
      <w:r>
        <w:rPr>
          <w:rFonts w:ascii="方正仿宋_GB2312;方正仿宋_GB2312" w:hAnsi="方正仿宋_GB2312;方正仿宋_GB2312" w:cs="方正仿宋_GB2312;方正仿宋_GB2312" w:eastAsia="方正仿宋_GB2312;方正仿宋_GB2312"/>
          <w:color w:val="000000"/>
          <w:kern w:val="0"/>
          <w:sz w:val="24"/>
          <w:szCs w:val="24"/>
        </w:rPr>
        <w:t>项未按时达到交付使用条件的，出卖人按日向买受人支付</w:t>
      </w:r>
    </w:p>
    <w:p>
      <w:pPr>
        <w:pStyle w:val="Normal"/>
        <w:autoSpaceDE w:val="false"/>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元的违约金；第</w:t>
      </w:r>
      <w:r>
        <w:rPr>
          <w:rFonts w:eastAsia="方正仿宋_GB2312;方正仿宋_GB2312" w:cs="方正仿宋_GB2312;方正仿宋_GB2312" w:ascii="方正仿宋_GB2312;方正仿宋_GB2312" w:hAnsi="方正仿宋_GB2312;方正仿宋_GB2312"/>
          <w:color w:val="000000"/>
          <w:kern w:val="0"/>
          <w:sz w:val="24"/>
          <w:szCs w:val="24"/>
        </w:rPr>
        <w:t>6</w:t>
      </w:r>
      <w:r>
        <w:rPr>
          <w:rFonts w:ascii="方正仿宋_GB2312;方正仿宋_GB2312" w:hAnsi="方正仿宋_GB2312;方正仿宋_GB2312" w:cs="方正仿宋_GB2312;方正仿宋_GB2312" w:eastAsia="方正仿宋_GB2312;方正仿宋_GB2312"/>
          <w:color w:val="000000"/>
          <w:kern w:val="0"/>
          <w:sz w:val="24"/>
          <w:szCs w:val="24"/>
        </w:rPr>
        <w:t>项未按时达到交付使用条件的，出卖人按日向买受人支付</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元的违约金。第</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项未按时达到交付使用条件的，出卖人按日向买受人支付</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元的违约金。出卖人采取措施保证相关设施于约定交付日后</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日之内达到交付使用条件。</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（二）公共服务及其他配套设施（以建设工程规划许可为准）</w:t>
      </w:r>
    </w:p>
    <w:p>
      <w:pPr>
        <w:pStyle w:val="Normal"/>
        <w:numPr>
          <w:ilvl w:val="0"/>
          <w:numId w:val="25"/>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小区内绿地率：</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日达到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25"/>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小区内非市政道路：</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日达到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25"/>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规划的车位、车库：</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日达到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25"/>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物业服务用房：</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日达到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25"/>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医疗卫生机构：</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日达到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25"/>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幼儿园：</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日达到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25"/>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学校：</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日达到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8.</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9.</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以上设施未达到上述条件的，双方同意按照以下方式处理：</w:t>
      </w:r>
    </w:p>
    <w:p>
      <w:pPr>
        <w:pStyle w:val="Normal"/>
        <w:numPr>
          <w:ilvl w:val="0"/>
          <w:numId w:val="19"/>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小区内绿地率未达到上述约定条件的，</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19"/>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小区内非市政道路未达到上述约定条件的，</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19"/>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规划的车位、车库未达到上述约定条件的，</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19"/>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物业服务用房未达到上述约定条件的，</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19"/>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其他设施未达到上述约定条件的，</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（三）关于本项目内相关设施设备的具体约定见附件五。</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（四）全装修住宅内的装修和设备还应约定以下内容：</w:t>
      </w:r>
    </w:p>
    <w:p>
      <w:pPr>
        <w:pStyle w:val="Normal"/>
        <w:numPr>
          <w:ilvl w:val="0"/>
          <w:numId w:val="0"/>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1.</w:t>
      </w:r>
      <w:r>
        <w:rPr>
          <w:rFonts w:ascii="方正仿宋_GB2312;方正仿宋_GB2312" w:hAnsi="方正仿宋_GB2312;方正仿宋_GB2312" w:cs="方正仿宋_GB2312;方正仿宋_GB2312" w:eastAsia="方正仿宋_GB2312;方正仿宋_GB2312"/>
          <w:color w:val="000000"/>
          <w:kern w:val="0"/>
          <w:sz w:val="24"/>
          <w:szCs w:val="24"/>
        </w:rPr>
        <w:t>厨房交付时可以正常使用，</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0"/>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2.</w:t>
      </w:r>
      <w:r>
        <w:rPr>
          <w:rFonts w:ascii="方正仿宋_GB2312;方正仿宋_GB2312" w:hAnsi="方正仿宋_GB2312;方正仿宋_GB2312" w:cs="方正仿宋_GB2312;方正仿宋_GB2312" w:eastAsia="方正仿宋_GB2312;方正仿宋_GB2312"/>
          <w:color w:val="000000"/>
          <w:kern w:val="0"/>
          <w:sz w:val="24"/>
          <w:szCs w:val="24"/>
        </w:rPr>
        <w:t>卫生间交付时可以正常使用，</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Style16"/>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 xml:space="preserve">3. </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4.</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以上内容中第</w:t>
      </w:r>
      <w:r>
        <w:rPr>
          <w:rFonts w:eastAsia="方正仿宋_GB2312;方正仿宋_GB2312" w:cs="方正仿宋_GB2312;方正仿宋_GB2312" w:ascii="方正仿宋_GB2312;方正仿宋_GB2312" w:hAnsi="方正仿宋_GB2312;方正仿宋_GB2312"/>
          <w:color w:val="000000"/>
          <w:kern w:val="0"/>
          <w:sz w:val="24"/>
          <w:szCs w:val="24"/>
        </w:rPr>
        <w:t xml:space="preserve">1 </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项在约定交付日未达到交付条件的，出卖人按照本合同第十四条的约定承担逾期交付责任。</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第</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项未按时达到交付使用条件的，出卖人按日向买受人支付</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元的违约金；出卖人采取措施保证相关设施于约定交付日后</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日之内达到交付使用条件。</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第十三条 交付时间和手续</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（一）出卖人应当在</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日前向买受人交付该商品房。</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（二）该商品房达到第十一条、第十二条约定的交付条件后，出卖人应当在交付日期届满前</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日（不少于</w:t>
      </w:r>
      <w:r>
        <w:rPr>
          <w:rFonts w:eastAsia="方正仿宋_GB2312;方正仿宋_GB2312" w:cs="方正仿宋_GB2312;方正仿宋_GB2312" w:ascii="方正仿宋_GB2312;方正仿宋_GB2312" w:hAnsi="方正仿宋_GB2312;方正仿宋_GB2312"/>
          <w:color w:val="000000"/>
          <w:kern w:val="0"/>
          <w:sz w:val="24"/>
          <w:szCs w:val="24"/>
        </w:rPr>
        <w:t>10</w:t>
      </w:r>
      <w:r>
        <w:rPr>
          <w:rFonts w:ascii="方正仿宋_GB2312;方正仿宋_GB2312" w:hAnsi="方正仿宋_GB2312;方正仿宋_GB2312" w:cs="方正仿宋_GB2312;方正仿宋_GB2312" w:eastAsia="方正仿宋_GB2312;方正仿宋_GB2312"/>
          <w:color w:val="000000"/>
          <w:kern w:val="0"/>
          <w:sz w:val="24"/>
          <w:szCs w:val="24"/>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交付该商品房时，出卖人应当出示满足第十一条约定的证明文件。出卖人不出示证明文件或者出示的证明文件不齐全，不能满足第十一条约定条件的，买受人有权拒绝接收，由此产生的逾期交付责任由出卖人承担，并按照第十四条处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（三）查验房屋</w:t>
      </w:r>
    </w:p>
    <w:p>
      <w:pPr>
        <w:pStyle w:val="Normal"/>
        <w:numPr>
          <w:ilvl w:val="0"/>
          <w:numId w:val="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办理交付手续前，买受人有权对该商品房进行查验，出卖人不得以缴纳相关税费（住宅专项维修资金除外）或者签署物业管理文件作为买受人查验和办理交付手续的前提条件。</w:t>
      </w:r>
    </w:p>
    <w:p>
      <w:pPr>
        <w:pStyle w:val="Normal"/>
        <w:numPr>
          <w:ilvl w:val="0"/>
          <w:numId w:val="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买受人查验的该商品房存在下列除地基基础和主体结构外的其他质量问题的，由出卖人按照有关工程和产品质量规范、标准自查验次日起</w:t>
      </w:r>
      <w:r>
        <w:rPr>
          <w:rFonts w:ascii="方正仿宋_GB2312;方正仿宋_GB2312" w:hAnsi="方正仿宋_GB2312;方正仿宋_GB2312" w:cs="方正仿宋_GB2312;方正仿宋_GB2312" w:eastAsia="方正仿宋_GB2312;方正仿宋_GB2312"/>
          <w:color w:val="000000"/>
          <w:kern w:val="0"/>
          <w:sz w:val="24"/>
          <w:szCs w:val="24"/>
          <w:u w:val="single"/>
          <w:lang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日内负责修复，并承担修复费用，修复后再行交付。</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）屋面、墙面、地面渗漏或开裂等；</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）管道堵塞；</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3</w:t>
      </w:r>
      <w:r>
        <w:rPr>
          <w:rFonts w:ascii="方正仿宋_GB2312;方正仿宋_GB2312" w:hAnsi="方正仿宋_GB2312;方正仿宋_GB2312" w:cs="方正仿宋_GB2312;方正仿宋_GB2312" w:eastAsia="方正仿宋_GB2312;方正仿宋_GB2312"/>
          <w:color w:val="000000"/>
          <w:kern w:val="0"/>
          <w:sz w:val="24"/>
          <w:szCs w:val="24"/>
        </w:rPr>
        <w:t>）门窗翘裂、五金件损坏；</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4</w:t>
      </w:r>
      <w:r>
        <w:rPr>
          <w:rFonts w:ascii="方正仿宋_GB2312;方正仿宋_GB2312" w:hAnsi="方正仿宋_GB2312;方正仿宋_GB2312" w:cs="方正仿宋_GB2312;方正仿宋_GB2312" w:eastAsia="方正仿宋_GB2312;方正仿宋_GB2312"/>
          <w:color w:val="000000"/>
          <w:kern w:val="0"/>
          <w:sz w:val="24"/>
          <w:szCs w:val="24"/>
        </w:rPr>
        <w:t>）灯具、电器等电气设备不能正常使用；</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5</w:t>
      </w:r>
      <w:r>
        <w:rPr>
          <w:rFonts w:ascii="方正仿宋_GB2312;方正仿宋_GB2312" w:hAnsi="方正仿宋_GB2312;方正仿宋_GB2312" w:cs="方正仿宋_GB2312;方正仿宋_GB2312" w:eastAsia="方正仿宋_GB2312;方正仿宋_GB2312"/>
          <w:color w:val="000000"/>
          <w:kern w:val="0"/>
          <w:sz w:val="24"/>
          <w:szCs w:val="24"/>
        </w:rPr>
        <w:t>）吊顶开裂；</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6</w:t>
      </w:r>
      <w:r>
        <w:rPr>
          <w:rFonts w:ascii="方正仿宋_GB2312;方正仿宋_GB2312" w:hAnsi="方正仿宋_GB2312;方正仿宋_GB2312" w:cs="方正仿宋_GB2312;方正仿宋_GB2312" w:eastAsia="方正仿宋_GB2312;方正仿宋_GB2312"/>
          <w:color w:val="000000"/>
          <w:kern w:val="0"/>
          <w:sz w:val="24"/>
          <w:szCs w:val="24"/>
        </w:rPr>
        <w:t>）瓷砖剥落</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开裂；</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7</w:t>
      </w:r>
      <w:r>
        <w:rPr>
          <w:rFonts w:ascii="方正仿宋_GB2312;方正仿宋_GB2312" w:hAnsi="方正仿宋_GB2312;方正仿宋_GB2312" w:cs="方正仿宋_GB2312;方正仿宋_GB2312" w:eastAsia="方正仿宋_GB2312;方正仿宋_GB2312"/>
          <w:color w:val="000000"/>
          <w:kern w:val="0"/>
          <w:sz w:val="24"/>
          <w:szCs w:val="24"/>
        </w:rPr>
        <w:t>）墙面剥落、开裂；</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8</w:t>
      </w:r>
      <w:r>
        <w:rPr>
          <w:rFonts w:ascii="方正仿宋_GB2312;方正仿宋_GB2312" w:hAnsi="方正仿宋_GB2312;方正仿宋_GB2312" w:cs="方正仿宋_GB2312;方正仿宋_GB2312" w:eastAsia="方正仿宋_GB2312;方正仿宋_GB2312"/>
          <w:color w:val="000000"/>
          <w:kern w:val="0"/>
          <w:sz w:val="24"/>
          <w:szCs w:val="24"/>
        </w:rPr>
        <w:t>）地砖、地板起翘、开裂；</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9</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8"/>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查验该商品房后，双方应当签署商品房交接单。由于买受人原因导致该商品房未能按期交付的，双方同意按照以下方式处理：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第十四条 逾期交付责任</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一</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除不可抗力外，出卖人未按照第十三条约定的时间将该商品房交付买受人的，双方同意按照下列第</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种方式处理：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按照逾期时间，分别处理</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）和（</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）不作累加</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）逾期在</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日之内</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该期限应当不多于第十条第</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）项中的期限</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，自第十三条约定的交付期限届满之次日起至实际交付之日止，出卖人按日计算向买受人支付全部房价款万分之</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该比率应当不低于本条第</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）项中的比率</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的违约金。</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）逾期超过</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该期限应当与本条第（</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）项中的期限相同</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后，买受人有权解除合同。买受人解除合同的，应当书面通知出卖人。出卖人应当自解除合同通知送达之日起</w:t>
      </w:r>
      <w:r>
        <w:rPr>
          <w:rFonts w:eastAsia="方正仿宋_GB2312;方正仿宋_GB2312" w:cs="方正仿宋_GB2312;方正仿宋_GB2312" w:ascii="方正仿宋_GB2312;方正仿宋_GB2312" w:hAnsi="方正仿宋_GB2312;方正仿宋_GB2312"/>
          <w:color w:val="000000"/>
          <w:kern w:val="0"/>
          <w:sz w:val="24"/>
          <w:szCs w:val="24"/>
        </w:rPr>
        <w:t>15</w:t>
      </w:r>
      <w:r>
        <w:rPr>
          <w:rFonts w:ascii="方正仿宋_GB2312;方正仿宋_GB2312" w:hAnsi="方正仿宋_GB2312;方正仿宋_GB2312" w:cs="方正仿宋_GB2312;方正仿宋_GB2312" w:eastAsia="方正仿宋_GB2312;方正仿宋_GB2312"/>
          <w:color w:val="000000"/>
          <w:kern w:val="0"/>
          <w:sz w:val="24"/>
          <w:szCs w:val="24"/>
        </w:rPr>
        <w:t>日内退还买受人已付全部房款（含已付贷款部分），并自买受人付款之日起，按照</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不低于</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合同签订日相应期限的贷款市场报价利率（</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rPr>
        <w:t>LPR</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计算给付利息；同时，出卖人按照全部房价款的</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rPr>
        <w:t>向买受人支付违约金。</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买受人要求继续履行合同的，合同继续履行，出卖人按日计算向买受人支付全部房价款万分之</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该比率应当不低于本条第</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）项中的比率</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的违约金。</w:t>
      </w:r>
    </w:p>
    <w:p>
      <w:pPr>
        <w:pStyle w:val="Normal"/>
        <w:numPr>
          <w:ilvl w:val="0"/>
          <w:numId w:val="0"/>
        </w:numPr>
        <w:autoSpaceDE w:val="false"/>
        <w:ind w:firstLine="24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u w:val="none"/>
          <w:lang w:val="en-US" w:eastAsia="zh-CN"/>
        </w:rPr>
        <w:t>2.</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Style16"/>
        <w:numPr>
          <w:ilvl w:val="0"/>
          <w:numId w:val="0"/>
        </w:numPr>
        <w:ind w:firstLine="480" w:start="0" w:end="0"/>
        <w:rPr>
          <w:rFonts w:ascii="方正仿宋_GB2312;方正仿宋_GB2312" w:hAnsi="方正仿宋_GB2312;方正仿宋_GB2312" w:eastAsia="方正仿宋_GB2312;方正仿宋_GB2312" w:cs="方正仿宋_GB2312;方正仿宋_GB2312"/>
          <w:highlight w:val="none"/>
          <w:u w:val="none"/>
        </w:rPr>
      </w:pPr>
      <w:r>
        <w:rPr>
          <w:rFonts w:ascii="方正仿宋_GB2312;方正仿宋_GB2312" w:hAnsi="方正仿宋_GB2312;方正仿宋_GB2312" w:cs="方正仿宋_GB2312;方正仿宋_GB2312" w:eastAsia="方正仿宋_GB2312;方正仿宋_GB2312"/>
          <w:color w:val="000000"/>
          <w:sz w:val="24"/>
          <w:u w:val="none"/>
          <w:lang w:val="en-US" w:eastAsia="zh-CN"/>
        </w:rPr>
        <w:t>（二）</w:t>
      </w:r>
      <w:r>
        <w:rPr>
          <w:rFonts w:ascii="方正仿宋_GB2312;方正仿宋_GB2312" w:hAnsi="方正仿宋_GB2312;方正仿宋_GB2312" w:cs="方正仿宋_GB2312;方正仿宋_GB2312" w:eastAsia="方正仿宋_GB2312;方正仿宋_GB2312"/>
          <w:b w:val="false"/>
          <w:bCs w:val="false"/>
          <w:color w:val="000000"/>
          <w:sz w:val="24"/>
          <w:lang w:val="en-US" w:eastAsia="zh-CN"/>
        </w:rPr>
        <w:t>双方【是】【否】约定解除合同权行使期限。如选择【是】，买受人依本条解除合同的，应在解除条件成就之日起</w:t>
      </w:r>
      <w:r>
        <w:rPr>
          <w:rFonts w:ascii="方正仿宋_GB2312;方正仿宋_GB2312" w:hAnsi="方正仿宋_GB2312;方正仿宋_GB2312" w:cs="方正仿宋_GB2312;方正仿宋_GB2312" w:eastAsia="方正仿宋_GB2312;方正仿宋_GB2312"/>
          <w:b w:val="false"/>
          <w:bCs w:val="false"/>
          <w:color w:val="000000"/>
          <w:sz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sz w:val="24"/>
          <w:lang w:val="en-US" w:eastAsia="zh-CN"/>
        </w:rPr>
        <w:t>个月内行使，逾期不行使的，</w:t>
      </w:r>
      <w:r>
        <w:rPr>
          <w:rFonts w:ascii="方正仿宋_GB2312;方正仿宋_GB2312" w:hAnsi="方正仿宋_GB2312;方正仿宋_GB2312" w:cs="方正仿宋_GB2312;方正仿宋_GB2312" w:eastAsia="方正仿宋_GB2312;方正仿宋_GB2312"/>
          <w:b w:val="false"/>
          <w:bCs w:val="false"/>
          <w:color w:val="000000"/>
          <w:sz w:val="24"/>
          <w:u w:val="none"/>
          <w:lang w:val="en-US" w:eastAsia="zh-CN"/>
        </w:rPr>
        <w:t>解除权消灭。</w:t>
      </w:r>
    </w:p>
    <w:p>
      <w:pPr>
        <w:pStyle w:val="Normal"/>
        <w:autoSpaceDE w:val="false"/>
        <w:spacing w:before="221" w:after="221"/>
        <w:jc w:val="center"/>
        <w:rPr>
          <w:rFonts w:ascii="Times New Roman" w:hAnsi="Times New Roman" w:eastAsia="黑体" w:cs="Times New Roman"/>
          <w:color w:val="000000"/>
          <w:kern w:val="0"/>
          <w:sz w:val="28"/>
          <w:szCs w:val="28"/>
          <w:highlight w:val="none"/>
        </w:rPr>
      </w:pPr>
      <w:r>
        <w:rPr>
          <w:rFonts w:ascii="Times New Roman" w:hAnsi="Times New Roman" w:cs="Times New Roman" w:eastAsia="黑体"/>
          <w:color w:val="000000"/>
          <w:kern w:val="0"/>
          <w:sz w:val="28"/>
          <w:szCs w:val="28"/>
        </w:rPr>
        <w:t>第五章</w:t>
      </w:r>
      <w:r>
        <w:rPr>
          <w:rFonts w:ascii="Times New Roman" w:hAnsi="Times New Roman" w:cs="Times New Roman" w:eastAsia="Times New Roman"/>
          <w:color w:val="000000"/>
          <w:kern w:val="0"/>
          <w:sz w:val="28"/>
          <w:szCs w:val="28"/>
        </w:rPr>
        <w:t xml:space="preserve"> </w:t>
      </w:r>
      <w:r>
        <w:rPr>
          <w:rFonts w:ascii="Times New Roman" w:hAnsi="Times New Roman" w:cs="Times New Roman" w:eastAsia="黑体"/>
          <w:color w:val="000000"/>
          <w:kern w:val="0"/>
          <w:sz w:val="28"/>
          <w:szCs w:val="28"/>
        </w:rPr>
        <w:t>商品房质量及保修责任</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第十五条 商品房质量</w:t>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（一）地基基础和主体结构</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出卖人承诺该商品房地基基础和主体结构合格，并符合国家、地方及行业标准。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商品房交付使用</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后</w:t>
      </w:r>
      <w:r>
        <w:rPr>
          <w:rFonts w:ascii="方正仿宋_GB2312;方正仿宋_GB2312" w:hAnsi="方正仿宋_GB2312;方正仿宋_GB2312" w:cs="方正仿宋_GB2312;方正仿宋_GB2312" w:eastAsia="方正仿宋_GB2312;方正仿宋_GB2312"/>
          <w:color w:val="000000"/>
          <w:kern w:val="0"/>
          <w:sz w:val="24"/>
          <w:szCs w:val="24"/>
        </w:rPr>
        <w:t>，买受人对该商品房地基基础和主体结构质量提出异议的，出卖人应当予以说明；买受人认为该商品房地基基础和主体结构不合格的，双方委托进行质量检测。经检测合格的，因此发生的检测费用由买受人承担。经检测不合格的，买受人有权解除合同。买受人解除合同的，应当书面通知出卖人。出卖人应当自解除合同通知送达之日起</w:t>
      </w:r>
      <w:r>
        <w:rPr>
          <w:rFonts w:eastAsia="方正仿宋_GB2312;方正仿宋_GB2312" w:cs="方正仿宋_GB2312;方正仿宋_GB2312" w:ascii="方正仿宋_GB2312;方正仿宋_GB2312" w:hAnsi="方正仿宋_GB2312;方正仿宋_GB2312"/>
          <w:color w:val="000000"/>
          <w:kern w:val="0"/>
          <w:sz w:val="24"/>
          <w:szCs w:val="24"/>
        </w:rPr>
        <w:t>15</w:t>
      </w:r>
      <w:r>
        <w:rPr>
          <w:rFonts w:ascii="方正仿宋_GB2312;方正仿宋_GB2312" w:hAnsi="方正仿宋_GB2312;方正仿宋_GB2312" w:cs="方正仿宋_GB2312;方正仿宋_GB2312" w:eastAsia="方正仿宋_GB2312;方正仿宋_GB2312"/>
          <w:color w:val="000000"/>
          <w:kern w:val="0"/>
          <w:sz w:val="24"/>
          <w:szCs w:val="24"/>
        </w:rPr>
        <w:t>日内退还买受人已付全部房款（含已付贷款部分），并自买受人付款之日起，按照</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不低于</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合同签订日相应期限的贷款市场报价利率（</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rPr>
        <w:t>LPR</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计算给付利息。给买受人造成损失的，由出卖人支付【已付房价款百分之</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】【买受人全部损失】的赔偿金。因此而发生的检测费用由出卖人承担。</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买受人不解除合同的，</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（二）其他质量问题</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该商品房质量应当符合有关工程质量规范、标准和施工图设计文件的要求。发现除地基基础和主体结构外质量问题的，双方按照以下方式处理：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）及时更换、修理；如给买受人造成损失的，还应当承担相应赔偿责任。</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）经过更换、修理，仍然严重影响正常使用的，买受人有权解除合同。买受人解除合同的，应当书面通知出卖人。出卖人应当自解除合同通知送达之日起</w:t>
      </w:r>
      <w:r>
        <w:rPr>
          <w:rFonts w:eastAsia="方正仿宋_GB2312;方正仿宋_GB2312" w:cs="方正仿宋_GB2312;方正仿宋_GB2312" w:ascii="方正仿宋_GB2312;方正仿宋_GB2312" w:hAnsi="方正仿宋_GB2312;方正仿宋_GB2312"/>
          <w:color w:val="000000"/>
          <w:kern w:val="0"/>
          <w:sz w:val="24"/>
          <w:szCs w:val="24"/>
        </w:rPr>
        <w:t>15</w:t>
      </w:r>
      <w:r>
        <w:rPr>
          <w:rFonts w:ascii="方正仿宋_GB2312;方正仿宋_GB2312" w:hAnsi="方正仿宋_GB2312;方正仿宋_GB2312" w:cs="方正仿宋_GB2312;方正仿宋_GB2312" w:eastAsia="方正仿宋_GB2312;方正仿宋_GB2312"/>
          <w:color w:val="000000"/>
          <w:kern w:val="0"/>
          <w:sz w:val="24"/>
          <w:szCs w:val="24"/>
        </w:rPr>
        <w:t>日内退还买受人已付全部房款（含已付贷款部分），并自买受人付款之日起，按照</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不低于</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合同签订日相应期限的贷款市场报价利率（</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rPr>
        <w:t>LPR</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计算给付利息。给买受人造成损失的，由出卖人承担相应赔偿责任。因此而发生的检测费用由出卖人承担。</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买受人不解除合同的，</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（三）装饰装修及设备标准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应当使用合格的建筑材料、构配件和设备，装置、装修、装饰所用材料的产品质量必须符合国家的、地方的强制性标准及双方约定的标准。涉及安装的还应符合国家的、地方的强制性标准及双方约定的标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不符合上述标准的，买受人有权要求出卖人按照下列第（</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方式处理（可多选）：</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）及时更换、修理；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）出卖人赔偿双倍的装饰、设备差价；</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3</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4</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具体装饰装修及相关设备标准的约定见附件</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六</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（四）室内空气质量、建筑隔声和民用建筑节能措施</w:t>
      </w:r>
    </w:p>
    <w:p>
      <w:pPr>
        <w:pStyle w:val="Normal"/>
        <w:numPr>
          <w:ilvl w:val="0"/>
          <w:numId w:val="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该商品房室内空气质量符合【国家】【地方】标准，标准名称：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，标准文号：</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none"/>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该商品房为住宅的，建筑隔声情况符合【国家】【地方】标准，标准名称：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，标准文号：</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该商品房可能受到噪声影响的情况：</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，出卖人方已采取或者拟采取的防治措施：</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eastAsia="方正仿宋_GB2312;方正仿宋_GB2312" w:cs="方正仿宋_GB2312;方正仿宋_GB2312" w:ascii="方正仿宋_GB2312;方正仿宋_GB2312" w:hAnsi="方正仿宋_GB2312;方正仿宋_GB2312"/>
          <w:color w:val="000000"/>
          <w:kern w:val="0"/>
          <w:sz w:val="24"/>
          <w:szCs w:val="24"/>
        </w:rPr>
        <w:t>15</w:t>
      </w:r>
      <w:r>
        <w:rPr>
          <w:rFonts w:ascii="方正仿宋_GB2312;方正仿宋_GB2312" w:hAnsi="方正仿宋_GB2312;方正仿宋_GB2312" w:cs="方正仿宋_GB2312;方正仿宋_GB2312" w:eastAsia="方正仿宋_GB2312;方正仿宋_GB2312"/>
          <w:color w:val="000000"/>
          <w:kern w:val="0"/>
          <w:sz w:val="24"/>
          <w:szCs w:val="24"/>
        </w:rPr>
        <w:t>日内退还买受人已付全部房款（含已付贷款部分），并自买受人付款之日起，按照</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不低于</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合同签订日相应期限的贷款市场报价利率（</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rPr>
        <w:t>LPR</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numPr>
          <w:ilvl w:val="0"/>
          <w:numId w:val="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该商品房应当符合国家有关民用建筑节能强制性标准的要求。</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未达到标准的，出卖人应当按照相应标准要求补做节能措施，并承担全部费用；给买受人造成损失的，出卖人应当承担相应赔偿责任。</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3"/>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该商品房的绿色建筑及建筑节能技术措施：</w:t>
      </w:r>
    </w:p>
    <w:p>
      <w:pPr>
        <w:pStyle w:val="2"/>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1</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2"/>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2"/>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3</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2"/>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4</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2"/>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rPr>
        <w:t>5</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第十六条 保修责任</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（一）商品房实行保修制度。</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出卖人应当</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对所售商品房承担质量保修责任。保修期从交付之日起计算。</w:t>
      </w:r>
      <w:r>
        <w:rPr>
          <w:rFonts w:ascii="方正仿宋_GB2312;方正仿宋_GB2312" w:hAnsi="方正仿宋_GB2312;方正仿宋_GB2312" w:cs="方正仿宋_GB2312;方正仿宋_GB2312" w:eastAsia="方正仿宋_GB2312;方正仿宋_GB2312"/>
          <w:color w:val="000000"/>
          <w:kern w:val="0"/>
          <w:sz w:val="24"/>
          <w:szCs w:val="24"/>
        </w:rPr>
        <w:t>该商品房为住宅的，出卖人按照《住宅质量保证书》承诺的内容承担相应的保修责任。该商品房为非住宅的，双方应当签订补充协议详细约定保修范围、保修期限和保修责任等内容。具体内容见附件</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七</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（二）下列情形，出卖人不承担保修责任：</w:t>
      </w:r>
    </w:p>
    <w:p>
      <w:pPr>
        <w:pStyle w:val="Normal"/>
        <w:numPr>
          <w:ilvl w:val="0"/>
          <w:numId w:val="20"/>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因不可抗力造成的房屋及其附属设施的损害；</w:t>
      </w:r>
    </w:p>
    <w:p>
      <w:pPr>
        <w:pStyle w:val="Normal"/>
        <w:numPr>
          <w:ilvl w:val="0"/>
          <w:numId w:val="20"/>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因买受人不当使用造成的房屋及其附属设施的损害；</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3.</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（三）在保修期内，买受人要求维修的书面通知送达出卖人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日内，出卖人既不履行保修义务也不提出书面异议的，买受人可以自行或委托他人进行维修，维修费用及维修期间造成的其他损失由出卖人承担。</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第十七条 质量</w:t>
      </w:r>
      <w:r>
        <w:rPr>
          <w:rFonts w:ascii="方正仿宋_GB2312;方正仿宋_GB2312" w:hAnsi="方正仿宋_GB2312;方正仿宋_GB2312" w:cs="方正仿宋_GB2312;方正仿宋_GB2312" w:eastAsia="方正仿宋_GB2312;方正仿宋_GB2312"/>
          <w:b/>
          <w:color w:val="000000"/>
          <w:kern w:val="0"/>
          <w:sz w:val="24"/>
          <w:szCs w:val="24"/>
          <w:lang w:val="en-US" w:eastAsia="zh-CN"/>
        </w:rPr>
        <w:t>责任与</w:t>
      </w:r>
      <w:r>
        <w:rPr>
          <w:rFonts w:ascii="方正仿宋_GB2312;方正仿宋_GB2312" w:hAnsi="方正仿宋_GB2312;方正仿宋_GB2312" w:cs="方正仿宋_GB2312;方正仿宋_GB2312" w:eastAsia="方正仿宋_GB2312;方正仿宋_GB2312"/>
          <w:b/>
          <w:color w:val="000000"/>
          <w:kern w:val="0"/>
          <w:sz w:val="24"/>
          <w:szCs w:val="24"/>
        </w:rPr>
        <w:t>担保</w:t>
      </w:r>
    </w:p>
    <w:p>
      <w:pPr>
        <w:pStyle w:val="Normal"/>
        <w:autoSpaceDE w:val="false"/>
        <w:ind w:firstLine="480" w:end="0"/>
        <w:rPr>
          <w:rFonts w:ascii="Times New Roman" w:hAnsi="Times New Roman" w:eastAsia="宋体" w:cs="Times New Roman"/>
          <w:b w:val="false"/>
          <w:bCs w:val="false"/>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u w:val="non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为该商品房质量提供担保。出卖人不按照第十五条、第十六条约定承担相关责任的，由</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承担连带责任。关于质量担保的证明见附件</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八</w:t>
      </w:r>
      <w:r>
        <w:rPr>
          <w:rFonts w:ascii="方正仿宋_GB2312;方正仿宋_GB2312" w:hAnsi="方正仿宋_GB2312;方正仿宋_GB2312" w:cs="方正仿宋_GB2312;方正仿宋_GB2312" w:eastAsia="方正仿宋_GB2312;方正仿宋_GB2312"/>
          <w:color w:val="000000"/>
          <w:kern w:val="0"/>
          <w:sz w:val="24"/>
          <w:szCs w:val="24"/>
          <w:u w:val="none"/>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none"/>
          <w:lang w:val="en-US" w:eastAsia="zh-CN"/>
        </w:rPr>
        <w:t>出卖人在</w:t>
      </w:r>
      <w:r>
        <w:rPr>
          <w:rFonts w:ascii="方正仿宋_GB2312;方正仿宋_GB2312" w:hAnsi="方正仿宋_GB2312;方正仿宋_GB2312" w:cs="方正仿宋_GB2312;方正仿宋_GB2312" w:eastAsia="方正仿宋_GB2312;方正仿宋_GB2312"/>
          <w:b w:val="false"/>
          <w:bCs w:val="false"/>
          <w:i w:val="false"/>
          <w:iCs w:val="false"/>
          <w:caps w:val="false"/>
          <w:smallCaps w:val="false"/>
          <w:color w:val="000000"/>
          <w:spacing w:val="0"/>
          <w:kern w:val="0"/>
          <w:sz w:val="24"/>
          <w:szCs w:val="24"/>
          <w:u w:val="none"/>
          <w:shd w:fill="auto" w:val="clear"/>
        </w:rPr>
        <w:t>注销情形下</w:t>
      </w:r>
      <w:r>
        <w:rPr>
          <w:rFonts w:ascii="方正仿宋_GB2312;方正仿宋_GB2312" w:hAnsi="方正仿宋_GB2312;方正仿宋_GB2312" w:cs="方正仿宋_GB2312;方正仿宋_GB2312" w:eastAsia="方正仿宋_GB2312;方正仿宋_GB2312"/>
          <w:b w:val="false"/>
          <w:bCs w:val="false"/>
          <w:i w:val="false"/>
          <w:iCs w:val="false"/>
          <w:caps w:val="false"/>
          <w:smallCaps w:val="false"/>
          <w:color w:val="000000"/>
          <w:spacing w:val="0"/>
          <w:kern w:val="0"/>
          <w:sz w:val="24"/>
          <w:szCs w:val="24"/>
          <w:u w:val="none"/>
          <w:shd w:fill="auto" w:val="clear"/>
          <w:lang w:eastAsia="zh-CN"/>
        </w:rPr>
        <w:t>，</w:t>
      </w:r>
      <w:r>
        <w:rPr>
          <w:rFonts w:ascii="方正仿宋_GB2312;方正仿宋_GB2312" w:hAnsi="方正仿宋_GB2312;方正仿宋_GB2312" w:cs="方正仿宋_GB2312;方正仿宋_GB2312" w:eastAsia="方正仿宋_GB2312;方正仿宋_GB2312"/>
          <w:b w:val="false"/>
          <w:bCs w:val="false"/>
          <w:i w:val="false"/>
          <w:iCs w:val="false"/>
          <w:caps w:val="false"/>
          <w:smallCaps w:val="false"/>
          <w:color w:val="000000"/>
          <w:spacing w:val="0"/>
          <w:kern w:val="0"/>
          <w:sz w:val="24"/>
          <w:szCs w:val="24"/>
          <w:u w:val="none"/>
          <w:shd w:fill="auto" w:val="clear"/>
          <w:lang w:val="en-US" w:eastAsia="zh-CN"/>
        </w:rPr>
        <w:t>应按照法律、法规和有关政策的规定承担该商品房质量责任。</w:t>
      </w:r>
    </w:p>
    <w:p>
      <w:pPr>
        <w:pStyle w:val="Normal"/>
        <w:autoSpaceDE w:val="false"/>
        <w:spacing w:before="221" w:after="221"/>
        <w:jc w:val="center"/>
        <w:rPr>
          <w:rFonts w:ascii="Times New Roman" w:hAnsi="Times New Roman" w:eastAsia="黑体" w:cs="Times New Roman"/>
          <w:color w:val="000000"/>
          <w:kern w:val="0"/>
          <w:sz w:val="28"/>
          <w:szCs w:val="28"/>
          <w:highlight w:val="none"/>
        </w:rPr>
      </w:pPr>
      <w:r>
        <w:rPr>
          <w:rFonts w:ascii="Times New Roman" w:hAnsi="Times New Roman" w:cs="Times New Roman" w:eastAsia="黑体"/>
          <w:color w:val="000000"/>
          <w:kern w:val="0"/>
          <w:sz w:val="28"/>
          <w:szCs w:val="28"/>
        </w:rPr>
        <w:t>第六章</w:t>
      </w:r>
      <w:r>
        <w:rPr>
          <w:rFonts w:ascii="Times New Roman" w:hAnsi="Times New Roman" w:cs="Times New Roman" w:eastAsia="Times New Roman"/>
          <w:color w:val="000000"/>
          <w:kern w:val="0"/>
          <w:sz w:val="28"/>
          <w:szCs w:val="28"/>
        </w:rPr>
        <w:t xml:space="preserve"> </w:t>
      </w:r>
      <w:r>
        <w:rPr>
          <w:rFonts w:ascii="Times New Roman" w:hAnsi="Times New Roman" w:cs="Times New Roman" w:eastAsia="黑体"/>
          <w:color w:val="000000"/>
          <w:kern w:val="0"/>
          <w:sz w:val="28"/>
          <w:szCs w:val="28"/>
        </w:rPr>
        <w:t>房屋交易、不动产登记</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第十八条 房屋交易、不动产登记</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（一）双方同意共同向房产管理部门和不动产登记部门申请办理该商品房的交易手续和不动产登记。</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（二）因出卖人的原因，买受人未能在该商品房交付</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使用</w:t>
      </w:r>
      <w:r>
        <w:rPr>
          <w:rFonts w:ascii="方正仿宋_GB2312;方正仿宋_GB2312" w:hAnsi="方正仿宋_GB2312;方正仿宋_GB2312" w:cs="方正仿宋_GB2312;方正仿宋_GB2312" w:eastAsia="方正仿宋_GB2312;方正仿宋_GB2312"/>
          <w:color w:val="000000"/>
          <w:kern w:val="0"/>
          <w:sz w:val="24"/>
          <w:szCs w:val="24"/>
        </w:rPr>
        <w:t>之日起</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90</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日内</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日内</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不超过</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90</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日</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完成该商品房的房屋交易手续和取得不动产权证的，双方同意按照下列第</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种方式处理：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 xml:space="preserve">1. </w:t>
      </w:r>
      <w:r>
        <w:rPr>
          <w:rFonts w:ascii="方正仿宋_GB2312;方正仿宋_GB2312" w:hAnsi="方正仿宋_GB2312;方正仿宋_GB2312" w:cs="方正仿宋_GB2312;方正仿宋_GB2312" w:eastAsia="方正仿宋_GB2312;方正仿宋_GB2312"/>
          <w:color w:val="000000"/>
          <w:kern w:val="0"/>
          <w:sz w:val="24"/>
          <w:szCs w:val="24"/>
        </w:rPr>
        <w:t>买受人有权解除合同。买受人解除合同的，应当书面通知出卖人。出卖人应当自解除合同通知送达之日起</w:t>
      </w:r>
      <w:r>
        <w:rPr>
          <w:rFonts w:eastAsia="方正仿宋_GB2312;方正仿宋_GB2312" w:cs="方正仿宋_GB2312;方正仿宋_GB2312" w:ascii="方正仿宋_GB2312;方正仿宋_GB2312" w:hAnsi="方正仿宋_GB2312;方正仿宋_GB2312"/>
          <w:color w:val="000000"/>
          <w:kern w:val="0"/>
          <w:sz w:val="24"/>
          <w:szCs w:val="24"/>
        </w:rPr>
        <w:t>15</w:t>
      </w:r>
      <w:r>
        <w:rPr>
          <w:rFonts w:ascii="方正仿宋_GB2312;方正仿宋_GB2312" w:hAnsi="方正仿宋_GB2312;方正仿宋_GB2312" w:cs="方正仿宋_GB2312;方正仿宋_GB2312" w:eastAsia="方正仿宋_GB2312;方正仿宋_GB2312"/>
          <w:color w:val="000000"/>
          <w:kern w:val="0"/>
          <w:sz w:val="24"/>
          <w:szCs w:val="24"/>
        </w:rPr>
        <w:t>日内退还买受人已付全部房款（含已付贷款部分），并自买受人付款之日起，按照</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rPr>
        <w:t>%</w:t>
      </w:r>
      <w:r>
        <w:rPr>
          <w:rFonts w:eastAsia="方正仿宋_GB2312;方正仿宋_GB2312" w:cs="方正仿宋_GB2312;方正仿宋_GB2312" w:ascii="方正仿宋_GB2312;方正仿宋_GB2312" w:hAnsi="方正仿宋_GB2312;方正仿宋_GB2312"/>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不低于</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合同签订日相应期限的贷款市场报价利率（</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rPr>
        <w:t>LPR</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rPr>
        <w:t>）</w:t>
      </w:r>
      <w:r>
        <w:rPr>
          <w:rFonts w:eastAsia="方正仿宋_GB2312;方正仿宋_GB2312" w:cs="方正仿宋_GB2312;方正仿宋_GB2312" w:ascii="方正仿宋_GB2312;方正仿宋_GB2312" w:hAnsi="方正仿宋_GB2312;方正仿宋_GB2312"/>
          <w:b w:val="false"/>
          <w:bCs w:val="false"/>
          <w:color w:val="000000"/>
          <w:kern w:val="0"/>
          <w:sz w:val="24"/>
          <w:szCs w:val="24"/>
          <w:lang w:val="en-US"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计算给付利息。买受人不解除合同的，自买受人应当完成房屋交易手续和取得不动产权证的期限届满之次日起至实际全部完成房屋交易手续和取得不动产权证之日止，出卖人按日计算向买受人支付全部房价款万分之</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的违约金。</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2.</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Times New Roman" w:hAnsi="Times New Roman" w:cs="Times New Roman"/>
          <w:color w:val="000000"/>
          <w:kern w:val="0"/>
          <w:sz w:val="18"/>
          <w:szCs w:val="18"/>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（三）因买受人的原因未能在约定期限内完成该商品房的交易手续与不动产登记的，出卖人不承担责任。</w:t>
      </w:r>
    </w:p>
    <w:p>
      <w:pPr>
        <w:pStyle w:val="Normal"/>
        <w:autoSpaceDE w:val="false"/>
        <w:spacing w:before="221" w:after="221"/>
        <w:jc w:val="center"/>
        <w:rPr>
          <w:rFonts w:ascii="Times New Roman" w:hAnsi="Times New Roman" w:eastAsia="黑体" w:cs="Times New Roman"/>
          <w:color w:val="000000"/>
          <w:kern w:val="0"/>
          <w:sz w:val="28"/>
          <w:szCs w:val="28"/>
          <w:highlight w:val="none"/>
        </w:rPr>
      </w:pPr>
      <w:r>
        <w:rPr>
          <w:rFonts w:ascii="Times New Roman" w:hAnsi="Times New Roman" w:cs="Times New Roman" w:eastAsia="黑体"/>
          <w:color w:val="000000"/>
          <w:kern w:val="0"/>
          <w:sz w:val="28"/>
          <w:szCs w:val="28"/>
        </w:rPr>
        <w:t>第七章</w:t>
      </w:r>
      <w:r>
        <w:rPr>
          <w:rFonts w:ascii="Times New Roman" w:hAnsi="Times New Roman" w:cs="Times New Roman" w:eastAsia="Times New Roman"/>
          <w:color w:val="000000"/>
          <w:kern w:val="0"/>
          <w:sz w:val="28"/>
          <w:szCs w:val="28"/>
        </w:rPr>
        <w:t xml:space="preserve"> </w:t>
      </w:r>
      <w:r>
        <w:rPr>
          <w:rFonts w:ascii="Times New Roman" w:hAnsi="Times New Roman" w:cs="Times New Roman" w:eastAsia="黑体"/>
          <w:color w:val="000000"/>
          <w:kern w:val="0"/>
          <w:sz w:val="28"/>
          <w:szCs w:val="28"/>
        </w:rPr>
        <w:t>物业管理</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第十九条 物业管理</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（一）出卖人依法选聘的前期物业服务企业为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（二）物业服务时间从</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到</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（三）物业服务期间，物业收费计费方式为【包干制】【酬金制】【</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】。物业服务费为</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val="en-US" w:eastAsia="zh-CN"/>
        </w:rPr>
        <w:t>人民币</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val="false"/>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元</w:t>
      </w:r>
      <w:r>
        <w:rPr>
          <w:rFonts w:eastAsia="方正仿宋_GB2312;方正仿宋_GB2312" w:cs="方正仿宋_GB2312;方正仿宋_GB2312" w:ascii="方正仿宋_GB2312;方正仿宋_GB2312" w:hAnsi="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eastAsia="方正仿宋_GB2312;方正仿宋_GB2312" w:cs="方正仿宋_GB2312;方正仿宋_GB2312" w:ascii="方正仿宋_GB2312;方正仿宋_GB2312" w:hAnsi="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rPr>
        <w:t>平方米（建筑面积</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（四）买受人同意由出卖人选聘的前期物业服务企业代为查验并承接物业共用部位、共用设施设备，出卖人应当将物业共用部位、共用设施设备承接查验的情况书面告知买受人。</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（五）买受人已详细阅读前期物业服务合同和临时管理规约，同意由出卖人依法选聘的物业服务企业实施前期物业管理，遵守临时管理规约。</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（六）业主大会设立前适用该章约定。业主委员会成立后，由业主大会决定选聘或续聘物业服务企业。</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color w:val="000000"/>
          <w:kern w:val="0"/>
          <w:sz w:val="24"/>
          <w:szCs w:val="24"/>
        </w:rPr>
        <w:t>（七）物业服务用房座落</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于</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，建筑面积</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平方米，其中地上建筑面积</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平方米。</w:t>
      </w:r>
    </w:p>
    <w:p>
      <w:pPr>
        <w:pStyle w:val="Normal"/>
        <w:autoSpaceDE w:val="false"/>
        <w:ind w:firstLine="480" w:end="0"/>
        <w:rPr>
          <w:rFonts w:ascii="Times New Roman" w:hAnsi="Times New Roman" w:cs="Times New Roman"/>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该商品房前期物业服务合同、临时管理规约见附件</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九</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spacing w:before="221" w:after="221"/>
        <w:jc w:val="center"/>
        <w:rPr>
          <w:rFonts w:ascii="Times New Roman" w:hAnsi="Times New Roman" w:eastAsia="黑体" w:cs="Times New Roman"/>
          <w:color w:val="000000"/>
          <w:kern w:val="0"/>
          <w:sz w:val="28"/>
          <w:szCs w:val="28"/>
          <w:highlight w:val="none"/>
        </w:rPr>
      </w:pPr>
      <w:r>
        <w:rPr>
          <w:rFonts w:ascii="Times New Roman" w:hAnsi="Times New Roman" w:cs="Times New Roman" w:eastAsia="黑体"/>
          <w:color w:val="000000"/>
          <w:kern w:val="0"/>
          <w:sz w:val="28"/>
          <w:szCs w:val="28"/>
        </w:rPr>
        <w:t>第八章</w:t>
      </w:r>
      <w:r>
        <w:rPr>
          <w:rFonts w:ascii="Times New Roman" w:hAnsi="Times New Roman" w:cs="Times New Roman" w:eastAsia="Times New Roman"/>
          <w:color w:val="000000"/>
          <w:kern w:val="0"/>
          <w:sz w:val="28"/>
          <w:szCs w:val="28"/>
        </w:rPr>
        <w:t xml:space="preserve"> </w:t>
      </w:r>
      <w:r>
        <w:rPr>
          <w:rFonts w:ascii="Times New Roman" w:hAnsi="Times New Roman" w:cs="Times New Roman" w:eastAsia="黑体"/>
          <w:color w:val="000000"/>
          <w:kern w:val="0"/>
          <w:sz w:val="28"/>
          <w:szCs w:val="28"/>
        </w:rPr>
        <w:t>其他事项</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第二十条 建筑物区分所有权</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（一）买受人对其建筑物专有部分享有占有、使用、收益和处分的权利。</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（二）以下部位归业主共有：</w:t>
      </w:r>
    </w:p>
    <w:p>
      <w:pPr>
        <w:pStyle w:val="Normal"/>
        <w:numPr>
          <w:ilvl w:val="0"/>
          <w:numId w:val="11"/>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建筑物的基础、承重结构、外墙、屋顶等基本结构部分，通道、楼梯、大堂等公共通行部分，消防、公共照明等附属设施、设备，避难层、设备层或者设备间等结构部分；</w:t>
      </w:r>
    </w:p>
    <w:p>
      <w:pPr>
        <w:pStyle w:val="Normal"/>
        <w:numPr>
          <w:ilvl w:val="0"/>
          <w:numId w:val="11"/>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该商品房所在建筑区划内的道路（属于城镇公共道路的除外）、绿地（属于城镇公共绿地或者明示属于个人的除外）、占用业主共有的道路或者其他场地用于停放汽车的车位、物业服务用房；</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3.</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（三）双方对其他配套设施约定如下：</w:t>
      </w:r>
    </w:p>
    <w:p>
      <w:pPr>
        <w:pStyle w:val="Normal"/>
        <w:numPr>
          <w:ilvl w:val="0"/>
          <w:numId w:val="1"/>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规划的车位、车库：</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1"/>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会所：</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3.</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u w:val="single"/>
          <w:lang w:val="en-US" w:eastAsia="zh-CN"/>
        </w:rPr>
        <w:t xml:space="preserve"> </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第二十一条 税费</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双方应当按照国家的有关规定，向相应部门缴纳因该商品房买卖发生的税费。</w:t>
      </w:r>
    </w:p>
    <w:p>
      <w:pPr>
        <w:pStyle w:val="Normal"/>
        <w:autoSpaceDE w:val="false"/>
        <w:ind w:firstLine="482" w:end="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第二十二条 销售和使用承诺</w:t>
      </w:r>
    </w:p>
    <w:p>
      <w:pPr>
        <w:pStyle w:val="Normal"/>
        <w:numPr>
          <w:ilvl w:val="0"/>
          <w:numId w:val="26"/>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出卖人承诺不采取分割拆零销售、返本销售或者变相返本销售的方式销售商品房。全装修住宅不得对室内装饰装修部分拆分销售。</w:t>
      </w:r>
    </w:p>
    <w:p>
      <w:pPr>
        <w:pStyle w:val="Normal"/>
        <w:numPr>
          <w:ilvl w:val="0"/>
          <w:numId w:val="26"/>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出卖人承诺按照规划用途进行建设和出售，不擅自改变该商品房使用性质，并按照规划用途办理交易确认和不动产登记。出卖人不得擅自改变与该商品房有关的共用部位和设施的使用性质。</w:t>
      </w:r>
    </w:p>
    <w:p>
      <w:pPr>
        <w:pStyle w:val="Normal"/>
        <w:numPr>
          <w:ilvl w:val="0"/>
          <w:numId w:val="26"/>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出卖人承诺对商品房的销售，不涉及依法或者依规划属于买受人共有的共用部位和设施的处分。</w:t>
      </w:r>
    </w:p>
    <w:p>
      <w:pPr>
        <w:pStyle w:val="Normal"/>
        <w:numPr>
          <w:ilvl w:val="0"/>
          <w:numId w:val="26"/>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出卖人承诺已将遮挡或妨碍房屋正常使用的情况告知买受人。具体内容见附件十一。</w:t>
      </w:r>
    </w:p>
    <w:p>
      <w:pPr>
        <w:pStyle w:val="Normal"/>
        <w:numPr>
          <w:ilvl w:val="0"/>
          <w:numId w:val="26"/>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买受人使用该商品房期间，不得擅自改变该商品房的用途、建筑主体结构和承重结构。</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6.</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t>7.</w:t>
      </w:r>
      <w:r>
        <w:rPr>
          <w:rFonts w:eastAsia="方正仿宋_GB2312;方正仿宋_GB2312" w:cs="方正仿宋_GB2312;方正仿宋_GB2312" w:ascii="方正仿宋_GB2312;方正仿宋_GB2312" w:hAnsi="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第二十三条 送达</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出卖人和买受人保证在本合同中记载的通讯地址、联系电话均真实有效。任何根据本合同发出的文件，均应采用书面形式，以【快递】【邮寄挂号信】【</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】方式送达对方。任何一方变更通讯地址、联系电话的，应在变更之日起</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日内书面通知对方。变更的一方未履行通知义务导致送达不能的，应承担相应的法律责任。</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第二十四条 买受人信息保护</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第二十五条 争议解决方式</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本合同在履行过程中发生的争议，由双方当事人协商解决，也可通过消费者权益保护委员会</w:t>
      </w:r>
      <w:r>
        <w:rPr>
          <w:rFonts w:ascii="方正仿宋_GB2312;方正仿宋_GB2312" w:hAnsi="方正仿宋_GB2312;方正仿宋_GB2312" w:cs="方正仿宋_GB2312;方正仿宋_GB2312" w:eastAsia="方正仿宋_GB2312;方正仿宋_GB2312"/>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第三方调解组织</w:t>
      </w:r>
      <w:r>
        <w:rPr>
          <w:rFonts w:ascii="方正仿宋_GB2312;方正仿宋_GB2312" w:hAnsi="方正仿宋_GB2312;方正仿宋_GB2312" w:cs="方正仿宋_GB2312;方正仿宋_GB2312" w:eastAsia="方正仿宋_GB2312;方正仿宋_GB2312"/>
          <w:color w:val="000000"/>
          <w:kern w:val="0"/>
          <w:sz w:val="24"/>
          <w:szCs w:val="24"/>
        </w:rPr>
        <w:t>等相关机构调解；或按照下列第</w:t>
      </w:r>
      <w:r>
        <w:rPr>
          <w:rFonts w:ascii="方正仿宋_GB2312;方正仿宋_GB2312" w:hAnsi="方正仿宋_GB2312;方正仿宋_GB2312" w:cs="方正仿宋_GB2312;方正仿宋_GB2312" w:eastAsia="方正仿宋_GB2312;方正仿宋_GB2312"/>
          <w:color w:val="000000"/>
          <w:kern w:val="0"/>
          <w:sz w:val="24"/>
          <w:szCs w:val="24"/>
          <w:u w:val="single"/>
          <w:lang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种方式解决：</w:t>
      </w:r>
    </w:p>
    <w:p>
      <w:pPr>
        <w:pStyle w:val="Normal"/>
        <w:numPr>
          <w:ilvl w:val="0"/>
          <w:numId w:val="10"/>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依法向房屋所在地人民法院起诉。</w:t>
      </w:r>
    </w:p>
    <w:p>
      <w:pPr>
        <w:pStyle w:val="Normal"/>
        <w:numPr>
          <w:ilvl w:val="0"/>
          <w:numId w:val="10"/>
        </w:numPr>
        <w:autoSpaceDE w:val="false"/>
        <w:ind w:firstLine="480" w:start="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提交</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仲裁委员会仲裁。</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第二十六条 补充协议</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对本合同中未约定或约定不明的内容，双方可根据具体情况签订书面补充协议（补充协议见附件十四）。</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补充协议中含有不合理的减轻或免除本合同中约定应当由出卖人承担的责任，或不合理的加重买受人责任、排除买受人主要权利内容的，仍以本合同为准。</w:t>
      </w:r>
    </w:p>
    <w:p>
      <w:pPr>
        <w:pStyle w:val="Normal"/>
        <w:numPr>
          <w:ilvl w:val="0"/>
          <w:numId w:val="0"/>
        </w:numPr>
        <w:autoSpaceDE w:val="false"/>
        <w:ind w:firstLine="482" w:end="0"/>
        <w:outlineLvl w:val="0"/>
        <w:rPr>
          <w:rFonts w:ascii="方正仿宋_GB2312;方正仿宋_GB2312" w:hAnsi="方正仿宋_GB2312;方正仿宋_GB2312" w:eastAsia="方正仿宋_GB2312;方正仿宋_GB2312" w:cs="方正仿宋_GB2312;方正仿宋_GB2312"/>
          <w:b/>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color w:val="000000"/>
          <w:kern w:val="0"/>
          <w:sz w:val="24"/>
          <w:szCs w:val="24"/>
        </w:rPr>
        <w:t>第二十七条 合同生效</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本合同自双方签字或盖章之日起生效。本合同的解除应当采用书面形式。</w:t>
      </w:r>
    </w:p>
    <w:p>
      <w:pPr>
        <w:pStyle w:val="Style16"/>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本合同及附件共</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页，一式</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份，其中出卖人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份，买受人</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份，【</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份，【</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份。合同附件与本合同具有同等法律效力。</w:t>
      </w:r>
    </w:p>
    <w:p>
      <w:pPr>
        <w:pStyle w:val="Style16"/>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r>
    </w:p>
    <w:p>
      <w:pPr>
        <w:pStyle w:val="Style16"/>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出卖人（签字或盖章）：              买受人（签字或盖章）：</w:t>
      </w:r>
    </w:p>
    <w:p>
      <w:pPr>
        <w:pStyle w:val="Normal"/>
        <w:autoSpaceDE w:val="false"/>
        <w:snapToGrid w:val="false"/>
        <w:ind w:firstLine="420" w:end="0"/>
        <w:rPr>
          <w:rFonts w:ascii="方正仿宋_GB2312;方正仿宋_GB2312" w:hAnsi="方正仿宋_GB2312;方正仿宋_GB2312" w:eastAsia="方正仿宋_GB2312;方正仿宋_GB2312" w:cs="方正仿宋_GB2312;方正仿宋_GB2312"/>
          <w:color w:val="000000"/>
          <w:kern w:val="0"/>
          <w:sz w:val="21"/>
          <w:szCs w:val="21"/>
          <w:highlight w:val="none"/>
        </w:rPr>
      </w:pPr>
      <w:r>
        <w:rPr>
          <w:rFonts w:eastAsia="方正仿宋_GB2312;方正仿宋_GB2312" w:cs="方正仿宋_GB2312;方正仿宋_GB2312" w:ascii="方正仿宋_GB2312;方正仿宋_GB2312" w:hAnsi="方正仿宋_GB2312;方正仿宋_GB2312"/>
          <w:color w:val="000000"/>
          <w:kern w:val="0"/>
          <w:sz w:val="21"/>
          <w:szCs w:val="21"/>
        </w:rPr>
      </w:r>
    </w:p>
    <w:p>
      <w:pPr>
        <w:pStyle w:val="Normal"/>
        <w:autoSpaceDE w:val="false"/>
        <w:snapToGrid w:val="false"/>
        <w:ind w:firstLine="420" w:end="0"/>
        <w:rPr>
          <w:rFonts w:ascii="方正仿宋_GB2312;方正仿宋_GB2312" w:hAnsi="方正仿宋_GB2312;方正仿宋_GB2312" w:eastAsia="方正仿宋_GB2312;方正仿宋_GB2312" w:cs="方正仿宋_GB2312;方正仿宋_GB2312"/>
          <w:color w:val="000000"/>
          <w:kern w:val="0"/>
          <w:sz w:val="21"/>
          <w:szCs w:val="21"/>
          <w:highlight w:val="none"/>
        </w:rPr>
      </w:pPr>
      <w:r>
        <w:rPr>
          <w:rFonts w:eastAsia="方正仿宋_GB2312;方正仿宋_GB2312" w:cs="方正仿宋_GB2312;方正仿宋_GB2312" w:ascii="方正仿宋_GB2312;方正仿宋_GB2312" w:hAnsi="方正仿宋_GB2312;方正仿宋_GB2312"/>
          <w:color w:val="000000"/>
          <w:kern w:val="0"/>
          <w:sz w:val="21"/>
          <w:szCs w:val="21"/>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【法定代表人】（签字或盖章）：     【法定代表人】（签字或盖章）：</w:t>
      </w:r>
    </w:p>
    <w:p>
      <w:pPr>
        <w:pStyle w:val="Normal"/>
        <w:autoSpaceDE w:val="false"/>
        <w:snapToGrid w:val="false"/>
        <w:ind w:firstLine="420" w:end="0"/>
        <w:rPr>
          <w:rFonts w:ascii="方正仿宋_GB2312;方正仿宋_GB2312" w:hAnsi="方正仿宋_GB2312;方正仿宋_GB2312" w:eastAsia="方正仿宋_GB2312;方正仿宋_GB2312" w:cs="方正仿宋_GB2312;方正仿宋_GB2312"/>
          <w:color w:val="000000"/>
          <w:kern w:val="0"/>
          <w:sz w:val="21"/>
          <w:szCs w:val="21"/>
          <w:highlight w:val="none"/>
        </w:rPr>
      </w:pPr>
      <w:r>
        <w:rPr>
          <w:rFonts w:eastAsia="方正仿宋_GB2312;方正仿宋_GB2312" w:cs="方正仿宋_GB2312;方正仿宋_GB2312" w:ascii="方正仿宋_GB2312;方正仿宋_GB2312" w:hAnsi="方正仿宋_GB2312;方正仿宋_GB2312"/>
          <w:color w:val="000000"/>
          <w:kern w:val="0"/>
          <w:sz w:val="21"/>
          <w:szCs w:val="21"/>
        </w:rPr>
      </w:r>
    </w:p>
    <w:p>
      <w:pPr>
        <w:pStyle w:val="Normal"/>
        <w:autoSpaceDE w:val="false"/>
        <w:snapToGrid w:val="false"/>
        <w:ind w:firstLine="420" w:end="0"/>
        <w:rPr>
          <w:rFonts w:ascii="方正仿宋_GB2312;方正仿宋_GB2312" w:hAnsi="方正仿宋_GB2312;方正仿宋_GB2312" w:eastAsia="方正仿宋_GB2312;方正仿宋_GB2312" w:cs="方正仿宋_GB2312;方正仿宋_GB2312"/>
          <w:color w:val="000000"/>
          <w:kern w:val="0"/>
          <w:sz w:val="21"/>
          <w:szCs w:val="21"/>
          <w:highlight w:val="none"/>
        </w:rPr>
      </w:pPr>
      <w:r>
        <w:rPr>
          <w:rFonts w:eastAsia="方正仿宋_GB2312;方正仿宋_GB2312" w:cs="方正仿宋_GB2312;方正仿宋_GB2312" w:ascii="方正仿宋_GB2312;方正仿宋_GB2312" w:hAnsi="方正仿宋_GB2312;方正仿宋_GB2312"/>
          <w:color w:val="000000"/>
          <w:kern w:val="0"/>
          <w:sz w:val="21"/>
          <w:szCs w:val="21"/>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 xml:space="preserve">【委托代理人】（签字或盖章）：     【委托代理人】（签字或盖章）： </w:t>
      </w:r>
    </w:p>
    <w:p>
      <w:pPr>
        <w:pStyle w:val="Normal"/>
        <w:autoSpaceDE w:val="false"/>
        <w:snapToGrid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r>
    </w:p>
    <w:p>
      <w:pPr>
        <w:pStyle w:val="Normal"/>
        <w:autoSpaceDE w:val="false"/>
        <w:snapToGrid w:val="false"/>
        <w:ind w:firstLine="480" w:end="0"/>
        <w:rPr>
          <w:rFonts w:ascii="方正仿宋_GB2312;方正仿宋_GB2312" w:hAnsi="方正仿宋_GB2312;方正仿宋_GB2312" w:eastAsia="方正仿宋_GB2312;方正仿宋_GB2312" w:cs="方正仿宋_GB2312;方正仿宋_GB2312"/>
          <w:color w:val="000000"/>
          <w:kern w:val="0"/>
          <w:sz w:val="21"/>
          <w:szCs w:val="21"/>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p>
    <w:p>
      <w:pPr>
        <w:pStyle w:val="Normal"/>
        <w:autoSpaceDE w:val="false"/>
        <w:ind w:firstLine="46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【法定代理人】（签字或盖章）：</w:t>
      </w:r>
    </w:p>
    <w:p>
      <w:pPr>
        <w:pStyle w:val="Normal"/>
        <w:autoSpaceDE w:val="false"/>
        <w:snapToGrid w:val="false"/>
        <w:ind w:firstLine="420" w:end="0"/>
        <w:rPr>
          <w:rFonts w:ascii="方正仿宋_GB2312;方正仿宋_GB2312" w:hAnsi="方正仿宋_GB2312;方正仿宋_GB2312" w:eastAsia="方正仿宋_GB2312;方正仿宋_GB2312" w:cs="方正仿宋_GB2312;方正仿宋_GB2312"/>
          <w:color w:val="000000"/>
          <w:kern w:val="0"/>
          <w:sz w:val="21"/>
          <w:szCs w:val="21"/>
          <w:highlight w:val="none"/>
        </w:rPr>
      </w:pPr>
      <w:r>
        <w:rPr>
          <w:rFonts w:eastAsia="方正仿宋_GB2312;方正仿宋_GB2312" w:cs="方正仿宋_GB2312;方正仿宋_GB2312" w:ascii="方正仿宋_GB2312;方正仿宋_GB2312" w:hAnsi="方正仿宋_GB2312;方正仿宋_GB2312"/>
          <w:color w:val="000000"/>
          <w:kern w:val="0"/>
          <w:sz w:val="21"/>
          <w:szCs w:val="21"/>
        </w:rPr>
      </w:r>
    </w:p>
    <w:p>
      <w:pPr>
        <w:pStyle w:val="Style16"/>
        <w:rPr>
          <w:rFonts w:ascii="方正仿宋_GB2312;方正仿宋_GB2312" w:hAnsi="方正仿宋_GB2312;方正仿宋_GB2312" w:eastAsia="方正仿宋_GB2312;方正仿宋_GB2312" w:cs="方正仿宋_GB2312;方正仿宋_GB2312"/>
          <w:color w:val="000000"/>
          <w:kern w:val="0"/>
          <w:sz w:val="21"/>
          <w:szCs w:val="21"/>
          <w:highlight w:val="none"/>
        </w:rPr>
      </w:pPr>
      <w:r>
        <w:rPr>
          <w:rFonts w:eastAsia="方正仿宋_GB2312;方正仿宋_GB2312" w:cs="方正仿宋_GB2312;方正仿宋_GB2312" w:ascii="方正仿宋_GB2312;方正仿宋_GB2312" w:hAnsi="方正仿宋_GB2312;方正仿宋_GB2312"/>
          <w:color w:val="000000"/>
          <w:kern w:val="0"/>
          <w:sz w:val="21"/>
          <w:szCs w:val="21"/>
        </w:rPr>
      </w:r>
    </w:p>
    <w:p>
      <w:pPr>
        <w:pStyle w:val="Normal"/>
        <w:autoSpaceDE w:val="false"/>
        <w:snapToGrid w:val="false"/>
        <w:ind w:firstLine="420" w:end="0"/>
        <w:rPr>
          <w:rFonts w:ascii="方正仿宋_GB2312;方正仿宋_GB2312" w:hAnsi="方正仿宋_GB2312;方正仿宋_GB2312" w:eastAsia="方正仿宋_GB2312;方正仿宋_GB2312" w:cs="方正仿宋_GB2312;方正仿宋_GB2312"/>
          <w:color w:val="000000"/>
          <w:kern w:val="0"/>
          <w:sz w:val="21"/>
          <w:szCs w:val="21"/>
          <w:highlight w:val="none"/>
        </w:rPr>
      </w:pPr>
      <w:r>
        <w:rPr>
          <w:rFonts w:eastAsia="方正仿宋_GB2312;方正仿宋_GB2312" w:cs="方正仿宋_GB2312;方正仿宋_GB2312" w:ascii="方正仿宋_GB2312;方正仿宋_GB2312" w:hAnsi="方正仿宋_GB2312;方正仿宋_GB2312"/>
          <w:color w:val="000000"/>
          <w:kern w:val="0"/>
          <w:sz w:val="21"/>
          <w:szCs w:val="21"/>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color w:val="000000"/>
          <w:kern w:val="0"/>
          <w:sz w:val="24"/>
          <w:szCs w:val="24"/>
        </w:rPr>
        <w:t>签订时间：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     签订时间：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年</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月</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日</w:t>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color w:val="000000"/>
          <w:kern w:val="0"/>
          <w:sz w:val="24"/>
          <w:szCs w:val="24"/>
        </w:rPr>
      </w:r>
    </w:p>
    <w:p>
      <w:pPr>
        <w:pStyle w:val="Normal"/>
        <w:autoSpaceDE w:val="false"/>
        <w:ind w:firstLine="480" w:end="0"/>
        <w:rPr>
          <w:rFonts w:ascii="方正仿宋_GB2312;方正仿宋_GB2312" w:hAnsi="方正仿宋_GB2312;方正仿宋_GB2312" w:eastAsia="方正仿宋_GB2312;方正仿宋_GB2312" w:cs="方正仿宋_GB2312;方正仿宋_GB2312"/>
          <w:color w:val="000000"/>
          <w:kern w:val="0"/>
          <w:sz w:val="24"/>
          <w:szCs w:val="24"/>
          <w:highlight w:val="none"/>
          <w:u w:val="single"/>
          <w:lang w:val="en-US" w:eastAsia="zh-CN"/>
        </w:rPr>
      </w:pPr>
      <w:r>
        <w:rPr>
          <w:rFonts w:ascii="方正仿宋_GB2312;方正仿宋_GB2312" w:hAnsi="方正仿宋_GB2312;方正仿宋_GB2312" w:cs="方正仿宋_GB2312;方正仿宋_GB2312" w:eastAsia="方正仿宋_GB2312;方正仿宋_GB2312"/>
          <w:color w:val="000000"/>
          <w:kern w:val="0"/>
          <w:sz w:val="24"/>
          <w:szCs w:val="24"/>
        </w:rPr>
        <w:t>签订地点：</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 xml:space="preserve"> </w:t>
      </w:r>
      <w:r>
        <w:rPr>
          <w:rFonts w:ascii="方正仿宋_GB2312;方正仿宋_GB2312" w:hAnsi="方正仿宋_GB2312;方正仿宋_GB2312" w:cs="方正仿宋_GB2312;方正仿宋_GB2312" w:eastAsia="方正仿宋_GB2312;方正仿宋_GB2312"/>
          <w:color w:val="000000"/>
          <w:kern w:val="0"/>
          <w:sz w:val="24"/>
          <w:szCs w:val="24"/>
        </w:rPr>
        <w:t>签订地点：</w:t>
      </w:r>
      <w:r>
        <w:rPr>
          <w:rFonts w:ascii="方正仿宋_GB2312;方正仿宋_GB2312" w:hAnsi="方正仿宋_GB2312;方正仿宋_GB2312" w:cs="方正仿宋_GB2312;方正仿宋_GB2312" w:eastAsia="方正仿宋_GB2312;方正仿宋_GB2312"/>
          <w:color w:val="000000"/>
          <w:kern w:val="0"/>
          <w:sz w:val="24"/>
          <w:szCs w:val="24"/>
          <w:u w:val="single"/>
        </w:rPr>
        <w:t xml:space="preserve">                    </w:t>
      </w:r>
    </w:p>
    <w:p>
      <w:pPr>
        <w:pStyle w:val="Normal"/>
        <w:autoSpaceDE w:val="false"/>
        <w:ind w:end="0"/>
        <w:rPr>
          <w:rFonts w:ascii="Times New Roman" w:hAnsi="Times New Roman" w:eastAsia="黑体" w:cs="Times New Roman"/>
          <w:b w:val="false"/>
          <w:bCs/>
          <w:color w:val="000000"/>
          <w:kern w:val="0"/>
          <w:sz w:val="24"/>
          <w:szCs w:val="24"/>
          <w:highlight w:val="none"/>
          <w:u w:val="single"/>
          <w:lang w:val="en-US" w:eastAsia="zh-CN"/>
        </w:rPr>
      </w:pPr>
      <w:r>
        <w:rPr>
          <w:rFonts w:eastAsia="黑体" w:cs="Times New Roman"/>
          <w:b w:val="false"/>
          <w:bCs/>
          <w:color w:val="000000"/>
          <w:kern w:val="0"/>
          <w:sz w:val="24"/>
          <w:szCs w:val="24"/>
          <w:u w:val="single"/>
          <w:lang w:val="en-US" w:eastAsia="zh-CN"/>
        </w:rPr>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附件一</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房屋平面图（应当标明方位）</w:t>
      </w:r>
    </w:p>
    <w:p>
      <w:pPr>
        <w:pStyle w:val="Normal"/>
        <w:numPr>
          <w:ilvl w:val="0"/>
          <w:numId w:val="4"/>
        </w:numPr>
        <w:autoSpaceDE w:val="false"/>
        <w:ind w:firstLine="480" w:start="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房屋分层分户图（含附属用房）（应当标明门窗结构、详细尺寸，并约定误差范围）</w:t>
      </w:r>
    </w:p>
    <w:p>
      <w:pPr>
        <w:pStyle w:val="Normal"/>
        <w:numPr>
          <w:ilvl w:val="0"/>
          <w:numId w:val="4"/>
        </w:numPr>
        <w:autoSpaceDE w:val="false"/>
        <w:ind w:firstLine="480" w:start="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建设工程规划方案总平面图</w:t>
      </w:r>
    </w:p>
    <w:p>
      <w:pPr>
        <w:pStyle w:val="Normal"/>
        <w:numPr>
          <w:ilvl w:val="0"/>
          <w:numId w:val="4"/>
        </w:numPr>
        <w:autoSpaceDE w:val="false"/>
        <w:ind w:firstLine="480" w:start="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装修设计方案平面图（全装修住宅提供）</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黑体" w:cs="Times New Roman"/>
          <w:b w:val="false"/>
          <w:bCs/>
          <w:color w:val="000000"/>
          <w:kern w:val="0"/>
          <w:sz w:val="24"/>
          <w:szCs w:val="24"/>
          <w:highlight w:val="none"/>
          <w:lang w:val="en-US" w:eastAsia="zh-CN"/>
        </w:rPr>
      </w:pPr>
      <w:r>
        <w:rPr>
          <w:rFonts w:ascii="Times New Roman" w:hAnsi="Times New Roman" w:cs="Times New Roman" w:eastAsia="黑体"/>
          <w:b w:val="false"/>
          <w:bCs/>
          <w:color w:val="000000"/>
          <w:kern w:val="0"/>
          <w:sz w:val="24"/>
          <w:szCs w:val="24"/>
          <w:lang w:val="en-US" w:eastAsia="zh-CN"/>
        </w:rPr>
        <w:t>附件二</w:t>
      </w:r>
      <w:r>
        <w:rPr>
          <w:rFonts w:ascii="Times New Roman" w:hAnsi="Times New Roman" w:cs="Times New Roman" w:eastAsia="Times New Roman"/>
          <w:b w:val="false"/>
          <w:bCs/>
          <w:color w:val="000000"/>
          <w:kern w:val="0"/>
          <w:sz w:val="24"/>
          <w:szCs w:val="24"/>
          <w:lang w:val="en-US" w:eastAsia="zh-CN"/>
        </w:rPr>
        <w:t xml:space="preserve"> </w:t>
      </w:r>
      <w:r>
        <w:rPr>
          <w:rFonts w:ascii="Times New Roman" w:hAnsi="Times New Roman" w:cs="Times New Roman" w:eastAsia="黑体"/>
          <w:b w:val="false"/>
          <w:bCs/>
          <w:color w:val="000000"/>
          <w:kern w:val="0"/>
          <w:sz w:val="24"/>
          <w:szCs w:val="24"/>
          <w:lang w:val="en-US" w:eastAsia="zh-CN"/>
        </w:rPr>
        <w:t>关于该商品房共用设施设备等的具体说明（可附图说明）</w:t>
      </w:r>
    </w:p>
    <w:p>
      <w:pPr>
        <w:pStyle w:val="Normal"/>
        <w:keepNext w:val="false"/>
        <w:keepLines w:val="false"/>
        <w:pageBreakBefore w:val="false"/>
        <w:widowControl/>
        <w:numPr>
          <w:ilvl w:val="0"/>
          <w:numId w:val="14"/>
        </w:numPr>
        <w:kinsoku w:val="true"/>
        <w:overflowPunct w:val="true"/>
        <w:autoSpaceDE w:val="false"/>
        <w:bidi w:val="0"/>
        <w:snapToGrid w:val="true"/>
        <w:spacing w:lineRule="auto" w:line="240"/>
        <w:ind w:firstLine="480" w:start="0" w:end="0"/>
        <w:textAlignment w:val="auto"/>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lang w:val="en-US" w:eastAsia="zh-CN"/>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lang w:val="en-US" w:eastAsia="zh-CN"/>
        </w:rPr>
        <w:t>纳入该商品房分摊的共用设施设备的名称、面积、所在位置及建筑隔音等情况</w:t>
      </w:r>
    </w:p>
    <w:p>
      <w:pPr>
        <w:pStyle w:val="Normal"/>
        <w:keepNext w:val="false"/>
        <w:keepLines w:val="false"/>
        <w:pageBreakBefore w:val="false"/>
        <w:widowControl/>
        <w:numPr>
          <w:ilvl w:val="0"/>
          <w:numId w:val="14"/>
        </w:numPr>
        <w:kinsoku w:val="true"/>
        <w:overflowPunct w:val="true"/>
        <w:autoSpaceDE w:val="false"/>
        <w:bidi w:val="0"/>
        <w:snapToGrid w:val="true"/>
        <w:spacing w:lineRule="auto" w:line="240"/>
        <w:ind w:firstLine="480" w:start="0" w:end="0"/>
        <w:textAlignment w:val="auto"/>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lang w:val="en-US" w:eastAsia="zh-CN"/>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lang w:val="en-US" w:eastAsia="zh-CN"/>
        </w:rPr>
        <w:t>未纳入该商品房分摊的共用设施设备的名称、面积、所在位置及建筑隔声等情况</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附件三</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抵押权人同意该商品房转让的证明及关于抵押的相关约定</w:t>
      </w:r>
    </w:p>
    <w:p>
      <w:pPr>
        <w:pStyle w:val="Normal"/>
        <w:numPr>
          <w:ilvl w:val="0"/>
          <w:numId w:val="5"/>
        </w:numPr>
        <w:autoSpaceDE w:val="false"/>
        <w:ind w:firstLine="480" w:start="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抵押权人同意该商品房转让的证明</w:t>
      </w:r>
    </w:p>
    <w:p>
      <w:pPr>
        <w:pStyle w:val="Normal"/>
        <w:numPr>
          <w:ilvl w:val="0"/>
          <w:numId w:val="5"/>
        </w:numPr>
        <w:autoSpaceDE w:val="false"/>
        <w:ind w:firstLine="480" w:start="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解除抵押的条件和时间</w:t>
      </w:r>
    </w:p>
    <w:p>
      <w:pPr>
        <w:pStyle w:val="Normal"/>
        <w:numPr>
          <w:ilvl w:val="0"/>
          <w:numId w:val="5"/>
        </w:numPr>
        <w:autoSpaceDE w:val="false"/>
        <w:ind w:firstLine="480" w:start="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关于抵押的其他约定</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附件四</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出卖人提供的承租人放弃优先购买权的声明</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w:t>
      </w:r>
      <w:r>
        <w:rPr>
          <w:rFonts w:ascii="Times New Roman" w:hAnsi="Times New Roman" w:cs="Times New Roman" w:eastAsia="黑体"/>
          <w:b w:val="false"/>
          <w:bCs/>
          <w:color w:val="000000"/>
          <w:kern w:val="0"/>
          <w:sz w:val="24"/>
          <w:szCs w:val="24"/>
          <w:lang w:val="en-US" w:eastAsia="zh-CN"/>
        </w:rPr>
        <w:t>五</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关于本项目内相关设施、设备的具体约定</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cs="Times New Roman"/>
          <w:b w:val="false"/>
          <w:bCs/>
          <w:color w:val="000000"/>
          <w:kern w:val="0"/>
          <w:sz w:val="24"/>
          <w:szCs w:val="24"/>
        </w:rPr>
        <w:t xml:space="preserve">1.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相关设施的位置及用途</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2.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其他约定</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w:t>
      </w:r>
      <w:r>
        <w:rPr>
          <w:rFonts w:ascii="Times New Roman" w:hAnsi="Times New Roman" w:cs="Times New Roman" w:eastAsia="黑体"/>
          <w:b w:val="false"/>
          <w:bCs/>
          <w:color w:val="000000"/>
          <w:kern w:val="0"/>
          <w:sz w:val="24"/>
          <w:szCs w:val="24"/>
          <w:lang w:val="en-US" w:eastAsia="zh-CN"/>
        </w:rPr>
        <w:t>六</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关于装饰装修及相关设备标准的约定</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交付的商品房达不到本附件约定装修标准的，按照本合同第十五条第（三）款约定处理。出卖人未经双方约定增加的装置、装修、装饰，视为无条件赠送给买受人。</w:t>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（一）外装饰装修部分（该商品房所在幢）</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1.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外墙：【瓷砖】【涂料】【玻璃幕墙】【</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2.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电梯：</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3.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管道：</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4.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窗户：</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5.</w:t>
      </w:r>
      <w:r>
        <w:rPr>
          <w:rFonts w:eastAsia="方正仿宋_GB2312;方正仿宋_GB2312" w:cs="方正仿宋_GB2312;方正仿宋_GB2312" w:ascii="方正仿宋_GB2312;方正仿宋_GB2312" w:hAnsi="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6.</w:t>
      </w:r>
      <w:r>
        <w:rPr>
          <w:rFonts w:eastAsia="方正仿宋_GB2312;方正仿宋_GB2312" w:cs="方正仿宋_GB2312;方正仿宋_GB2312" w:ascii="方正仿宋_GB2312;方正仿宋_GB2312" w:hAnsi="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（二）内装饰装修部分</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双方就装饰装修主要材料和设备的品牌、产地、规格、级别、数量等内容约定如下（品牌、级别等内容应明确清晰，不得出现</w:t>
      </w:r>
      <w:r>
        <w:rPr>
          <w:rFonts w:ascii="方正仿宋_GB2312;方正仿宋_GB2312" w:hAnsi="方正仿宋_GB2312;方正仿宋_GB2312" w:cs="方正仿宋_GB2312;方正仿宋_GB2312" w:eastAsia="方正仿宋_GB2312;方正仿宋_GB2312"/>
          <w:b w:val="false"/>
          <w:bCs/>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其他同级别产品</w:t>
      </w:r>
      <w:r>
        <w:rPr>
          <w:rFonts w:ascii="方正仿宋_GB2312;方正仿宋_GB2312" w:hAnsi="方正仿宋_GB2312;方正仿宋_GB2312" w:cs="方正仿宋_GB2312;方正仿宋_GB2312" w:eastAsia="方正仿宋_GB2312;方正仿宋_GB2312"/>
          <w:b w:val="false"/>
          <w:bCs/>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等模糊字样）：</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bl>
      <w:tblPr>
        <w:tblW w:w="9072" w:type="dxa"/>
        <w:jc w:val="center"/>
        <w:tblInd w:w="0" w:type="dxa"/>
        <w:tblLayout w:type="fixed"/>
        <w:tblCellMar>
          <w:top w:w="0" w:type="dxa"/>
          <w:start w:w="28" w:type="dxa"/>
          <w:bottom w:w="0" w:type="dxa"/>
          <w:end w:w="28" w:type="dxa"/>
        </w:tblCellMar>
      </w:tblPr>
      <w:tblGrid>
        <w:gridCol w:w="1093"/>
        <w:gridCol w:w="672"/>
        <w:gridCol w:w="1470"/>
        <w:gridCol w:w="1680"/>
        <w:gridCol w:w="3553"/>
        <w:gridCol w:w="30"/>
        <w:gridCol w:w="574"/>
      </w:tblGrid>
      <w:tr>
        <w:trPr>
          <w:tblHeader w:val="true"/>
          <w:trHeight w:val="510" w:hRule="atLeast"/>
          <w:cantSplit w:val="true"/>
        </w:trPr>
        <w:tc>
          <w:tcPr>
            <w:tcW w:w="109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序号</w:t>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菜单内容</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装修材料</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品牌、产地、规格、级别、数量</w:t>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备注</w:t>
            </w:r>
          </w:p>
        </w:tc>
      </w:tr>
      <w:tr>
        <w:trPr>
          <w:trHeight w:val="454" w:hRule="atLeast"/>
          <w:cantSplit w:val="true"/>
        </w:trPr>
        <w:tc>
          <w:tcPr>
            <w:tcW w:w="10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起居厅</w:t>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1</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地面</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瓷砖</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大理石</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木地板</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2</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墙面</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涂料</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壁纸</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木饰面</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软包</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石材</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瓷砖</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3</w:t>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吊顶</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石膏板</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卧室</w:t>
            </w:r>
          </w:p>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（书房）</w:t>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1</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地面</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瓷砖</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石材</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木地板</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2</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墙面</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涂料</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壁纸</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木饰面</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软包</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3</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门</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木门</w:t>
            </w:r>
          </w:p>
        </w:tc>
        <w:tc>
          <w:tcPr>
            <w:tcW w:w="355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04"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玻璃门</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厨房</w:t>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1</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地面</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瓷砖</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石材</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墙面</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瓷砖</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石材</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吊顶</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铝合金</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石膏板</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2</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橱柜</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洗涤池</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柜门材料</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台面材料</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3</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厨房设备</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油烟机</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燃气灶</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4</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门</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木门</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玻璃门</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卫生间</w:t>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1</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地面</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瓷砖</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石材</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2</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墙面</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瓷砖</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石材</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马赛克</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3</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吊顶</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铝合金扣板</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防潮石膏板</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4</w:t>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淋浴空间</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淋浴房</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5</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卫浴</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盥洗盆</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马桶</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6</w:t>
            </w:r>
          </w:p>
        </w:tc>
        <w:tc>
          <w:tcPr>
            <w:tcW w:w="14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门</w:t>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木门</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玻璃门</w:t>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其他</w:t>
            </w:r>
          </w:p>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未尽事项</w:t>
            </w:r>
          </w:p>
        </w:tc>
        <w:tc>
          <w:tcPr>
            <w:tcW w:w="67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r>
        <w:trPr>
          <w:trHeight w:val="454" w:hRule="atLeast"/>
          <w:cantSplit w:val="true"/>
        </w:trPr>
        <w:tc>
          <w:tcPr>
            <w:tcW w:w="10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67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1680"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3583" w:type="dxa"/>
            <w:gridSpan w:val="2"/>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c>
          <w:tcPr>
            <w:tcW w:w="574"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r>
          </w:p>
        </w:tc>
      </w:tr>
    </w:tbl>
    <w:p>
      <w:pPr>
        <w:pStyle w:val="Normal"/>
        <w:keepNext w:val="false"/>
        <w:keepLines w:val="false"/>
        <w:pageBreakBefore w:val="false"/>
        <w:widowControl/>
        <w:numPr>
          <w:ilvl w:val="0"/>
          <w:numId w:val="0"/>
        </w:numPr>
        <w:kinsoku w:val="true"/>
        <w:overflowPunct w:val="true"/>
        <w:autoSpaceDE w:val="false"/>
        <w:bidi w:val="0"/>
        <w:snapToGrid w:val="true"/>
        <w:spacing w:lineRule="auto" w:line="240"/>
        <w:ind w:firstLine="480" w:end="0"/>
        <w:textAlignment w:val="auto"/>
        <w:outlineLvl w:val="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lang w:val="en-US" w:eastAsia="zh-CN"/>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lang w:val="en-US" w:eastAsia="zh-CN"/>
        </w:rPr>
        <w:t xml:space="preserve">（三）房屋建筑品质标准 </w:t>
      </w:r>
    </w:p>
    <w:p>
      <w:pPr>
        <w:pStyle w:val="Normal"/>
        <w:widowControl/>
        <w:numPr>
          <w:ilvl w:val="0"/>
          <w:numId w:val="2"/>
        </w:numPr>
        <w:autoSpaceDE w:val="false"/>
        <w:ind w:firstLine="480" w:start="0" w:end="0"/>
        <w:outlineLvl w:val="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lang w:val="en-US" w:eastAsia="zh-CN"/>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lang w:val="en-US" w:eastAsia="zh-CN"/>
        </w:rPr>
        <w:t>政府部门规划审批结果中明确该房屋建筑品质标准的，以规划审批结果为准。出卖人在商品房销售前应当向买受人明示规划审批结果，保证买受人的知情权；</w:t>
      </w:r>
    </w:p>
    <w:p>
      <w:pPr>
        <w:pStyle w:val="Normal"/>
        <w:widowContro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u w:val="single"/>
          <w:lang w:val="en-US" w:eastAsia="zh-CN"/>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lang w:val="en-US" w:eastAsia="zh-CN"/>
        </w:rPr>
        <w:t>2.</w:t>
      </w:r>
      <w:r>
        <w:rPr>
          <w:rFonts w:eastAsia="方正仿宋_GB2312;方正仿宋_GB2312" w:cs="方正仿宋_GB2312;方正仿宋_GB2312" w:ascii="方正仿宋_GB2312;方正仿宋_GB2312" w:hAnsi="方正仿宋_GB2312;方正仿宋_GB2312"/>
          <w:b w:val="false"/>
          <w:bCs/>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none"/>
          <w:lang w:val="en-US" w:eastAsia="zh-CN"/>
        </w:rPr>
        <w:t>；</w:t>
      </w:r>
    </w:p>
    <w:p>
      <w:pPr>
        <w:pStyle w:val="Normal"/>
        <w:widowControl/>
        <w:numPr>
          <w:ilvl w:val="0"/>
          <w:numId w:val="0"/>
        </w:numPr>
        <w:autoSpaceDE w:val="false"/>
        <w:ind w:firstLine="480" w:end="0"/>
        <w:outlineLvl w:val="0"/>
        <w:rPr>
          <w:rFonts w:ascii="Times New Roman" w:hAnsi="Times New Roman" w:eastAsia="宋体" w:cs="Times New Roman"/>
          <w:b w:val="false"/>
          <w:bCs/>
          <w:color w:val="000000"/>
          <w:kern w:val="0"/>
          <w:sz w:val="24"/>
          <w:szCs w:val="24"/>
          <w:highlight w:val="none"/>
          <w:u w:val="single"/>
          <w:lang w:val="en-US" w:eastAsia="zh-CN"/>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u w:val="none"/>
          <w:lang w:val="en-US" w:eastAsia="zh-CN"/>
        </w:rPr>
        <w:t>3.</w:t>
      </w:r>
      <w:r>
        <w:rPr>
          <w:rFonts w:eastAsia="方正仿宋_GB2312;方正仿宋_GB2312" w:cs="方正仿宋_GB2312;方正仿宋_GB2312" w:ascii="方正仿宋_GB2312;方正仿宋_GB2312" w:hAnsi="方正仿宋_GB2312;方正仿宋_GB2312"/>
          <w:b w:val="false"/>
          <w:bCs/>
          <w:color w:val="000000"/>
          <w:kern w:val="0"/>
          <w:sz w:val="24"/>
          <w:szCs w:val="24"/>
          <w:u w:val="single"/>
          <w:lang w:val="en-US" w:eastAsia="zh-CN"/>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none"/>
          <w:lang w:val="en-US" w:eastAsia="zh-CN"/>
        </w:rPr>
        <w:t>。</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w:t>
      </w:r>
      <w:r>
        <w:rPr>
          <w:rFonts w:ascii="Times New Roman" w:hAnsi="Times New Roman" w:cs="Times New Roman" w:eastAsia="黑体"/>
          <w:b w:val="false"/>
          <w:bCs/>
          <w:color w:val="000000"/>
          <w:kern w:val="0"/>
          <w:sz w:val="24"/>
          <w:szCs w:val="24"/>
          <w:lang w:val="en-US" w:eastAsia="zh-CN"/>
        </w:rPr>
        <w:t>七</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关于保修范围、保修期限和保修责任的约定</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该商品房为住宅的，出卖人应当提供《住宅质量保证书》；该商品房为非住宅的，双方可参照《住宅质量保证书》中的内容对保修范围、保修期限和保修责任等进行约定。</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该商品房的保修期自房屋交付之日起计算，关于保修期限的约定不应低于国家和省有关法律法规规定的最低保修期限。</w:t>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（一）保修项目、期限及责任的约定</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1.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地基基础和主体结构：</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保修期限为：</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（不得低于设计文件规定的该工程的合理使用年限）；</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2.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屋面防水工程、有防水要求的卫生间、房间、厨房、地下室和外墙面的防渗漏：</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保修期限为：</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（不得低于</w:t>
      </w:r>
      <w:r>
        <w:rPr>
          <w:rFonts w:eastAsia="方正仿宋_GB2312;方正仿宋_GB2312" w:cs="方正仿宋_GB2312;方正仿宋_GB2312" w:ascii="方正仿宋_GB2312;方正仿宋_GB2312" w:hAnsi="方正仿宋_GB2312;方正仿宋_GB2312"/>
          <w:b w:val="false"/>
          <w:bCs/>
          <w:color w:val="000000"/>
          <w:kern w:val="0"/>
          <w:sz w:val="24"/>
          <w:szCs w:val="24"/>
        </w:rPr>
        <w:t>8</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年）；</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3.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供热、供冷系统和设备：</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保修期限为：</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（不得低于</w:t>
      </w:r>
      <w:r>
        <w:rPr>
          <w:rFonts w:eastAsia="方正仿宋_GB2312;方正仿宋_GB2312" w:cs="方正仿宋_GB2312;方正仿宋_GB2312" w:ascii="方正仿宋_GB2312;方正仿宋_GB2312" w:hAnsi="方正仿宋_GB2312;方正仿宋_GB2312"/>
          <w:b w:val="false"/>
          <w:bCs/>
          <w:color w:val="000000"/>
          <w:kern w:val="0"/>
          <w:sz w:val="24"/>
          <w:szCs w:val="24"/>
        </w:rPr>
        <w:t>2</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个采暖期、供冷期）；</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4.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电气管线、给排水管道、设备安装：</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保修期限为：</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（不得低于</w:t>
      </w:r>
      <w:r>
        <w:rPr>
          <w:rFonts w:eastAsia="方正仿宋_GB2312;方正仿宋_GB2312" w:cs="方正仿宋_GB2312;方正仿宋_GB2312" w:ascii="方正仿宋_GB2312;方正仿宋_GB2312" w:hAnsi="方正仿宋_GB2312;方正仿宋_GB2312"/>
          <w:b w:val="false"/>
          <w:bCs/>
          <w:color w:val="000000"/>
          <w:kern w:val="0"/>
          <w:sz w:val="24"/>
          <w:szCs w:val="24"/>
        </w:rPr>
        <w:t>8</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年）；</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 xml:space="preserve">5.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装修工程</w:t>
      </w:r>
      <w:r>
        <w:rPr>
          <w:rFonts w:ascii="方正仿宋_GB2312;方正仿宋_GB2312" w:hAnsi="方正仿宋_GB2312;方正仿宋_GB2312" w:cs="方正仿宋_GB2312;方正仿宋_GB2312" w:eastAsia="方正仿宋_GB2312;方正仿宋_GB2312"/>
          <w:b w:val="false"/>
          <w:bCs/>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lang w:val="en-US" w:eastAsia="zh-CN"/>
        </w:rPr>
        <w:t>全装修交付商品房</w:t>
      </w:r>
      <w:r>
        <w:rPr>
          <w:rFonts w:ascii="方正仿宋_GB2312;方正仿宋_GB2312" w:hAnsi="方正仿宋_GB2312;方正仿宋_GB2312" w:cs="方正仿宋_GB2312;方正仿宋_GB2312" w:eastAsia="方正仿宋_GB2312;方正仿宋_GB2312"/>
          <w:b w:val="false"/>
          <w:bCs/>
          <w:color w:val="000000"/>
          <w:kern w:val="0"/>
          <w:sz w:val="24"/>
          <w:szCs w:val="24"/>
          <w:lang w:eastAsia="zh-CN"/>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r>
        <w:rPr>
          <w:rFonts w:eastAsia="方正仿宋_GB2312;方正仿宋_GB2312" w:cs="方正仿宋_GB2312;方正仿宋_GB2312" w:ascii="方正仿宋_GB2312;方正仿宋_GB2312" w:hAnsi="方正仿宋_GB2312;方正仿宋_GB2312"/>
          <w:b w:val="false"/>
          <w:bCs/>
          <w:color w:val="000000"/>
          <w:kern w:val="0"/>
          <w:sz w:val="24"/>
          <w:szCs w:val="24"/>
        </w:rPr>
        <w:t>1</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）埋设于墙体、地面内的电气网络管线和给排水管道等隐蔽工程保修期限为：</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（不得低于</w:t>
      </w:r>
      <w:r>
        <w:rPr>
          <w:rFonts w:eastAsia="方正仿宋_GB2312;方正仿宋_GB2312" w:cs="方正仿宋_GB2312;方正仿宋_GB2312" w:ascii="方正仿宋_GB2312;方正仿宋_GB2312" w:hAnsi="方正仿宋_GB2312;方正仿宋_GB2312"/>
          <w:b w:val="false"/>
          <w:bCs/>
          <w:color w:val="000000"/>
          <w:kern w:val="0"/>
          <w:sz w:val="24"/>
          <w:szCs w:val="24"/>
        </w:rPr>
        <w:t>8</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年）；</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u w:val="singl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r>
        <w:rPr>
          <w:rFonts w:eastAsia="方正仿宋_GB2312;方正仿宋_GB2312" w:cs="方正仿宋_GB2312;方正仿宋_GB2312" w:ascii="方正仿宋_GB2312;方正仿宋_GB2312" w:hAnsi="方正仿宋_GB2312;方正仿宋_GB2312"/>
          <w:b w:val="false"/>
          <w:bCs/>
          <w:color w:val="000000"/>
          <w:kern w:val="0"/>
          <w:sz w:val="24"/>
          <w:szCs w:val="24"/>
        </w:rPr>
        <w:t>2</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r>
        <w:rPr>
          <w:rFonts w:eastAsia="方正仿宋_GB2312;方正仿宋_GB2312" w:cs="方正仿宋_GB2312;方正仿宋_GB2312" w:ascii="方正仿宋_GB2312;方正仿宋_GB2312" w:hAnsi="方正仿宋_GB2312;方正仿宋_GB2312"/>
          <w:b w:val="false"/>
          <w:bCs/>
          <w:color w:val="000000"/>
          <w:kern w:val="0"/>
          <w:sz w:val="24"/>
          <w:szCs w:val="24"/>
        </w:rPr>
        <w:t>3</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6.</w:t>
      </w:r>
      <w:r>
        <w:rPr>
          <w:rFonts w:eastAsia="方正仿宋_GB2312;方正仿宋_GB2312" w:cs="方正仿宋_GB2312;方正仿宋_GB2312" w:ascii="方正仿宋_GB2312;方正仿宋_GB2312" w:hAnsi="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7.</w:t>
      </w:r>
      <w:r>
        <w:rPr>
          <w:rFonts w:eastAsia="方正仿宋_GB2312;方正仿宋_GB2312" w:cs="方正仿宋_GB2312;方正仿宋_GB2312" w:ascii="方正仿宋_GB2312;方正仿宋_GB2312" w:hAnsi="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eastAsia="方正仿宋_GB2312;方正仿宋_GB2312" w:cs="方正仿宋_GB2312;方正仿宋_GB2312" w:ascii="方正仿宋_GB2312;方正仿宋_GB2312" w:hAnsi="方正仿宋_GB2312;方正仿宋_GB2312"/>
          <w:b w:val="false"/>
          <w:bCs/>
          <w:color w:val="000000"/>
          <w:kern w:val="0"/>
          <w:sz w:val="24"/>
          <w:szCs w:val="24"/>
        </w:rPr>
        <w:t>8.</w:t>
      </w:r>
      <w:r>
        <w:rPr>
          <w:rFonts w:eastAsia="方正仿宋_GB2312;方正仿宋_GB2312" w:cs="方正仿宋_GB2312;方正仿宋_GB2312" w:ascii="方正仿宋_GB2312;方正仿宋_GB2312" w:hAnsi="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numPr>
          <w:ilvl w:val="0"/>
          <w:numId w:val="0"/>
        </w:numPr>
        <w:autoSpaceDE w:val="false"/>
        <w:ind w:firstLine="480" w:end="0"/>
        <w:outlineLvl w:val="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（二）其他约定</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u w:val="single"/>
        </w:rPr>
        <w:t xml:space="preserve">                                                                      </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w:t>
      </w:r>
      <w:r>
        <w:rPr>
          <w:rFonts w:ascii="Times New Roman" w:hAnsi="Times New Roman" w:cs="Times New Roman" w:eastAsia="黑体"/>
          <w:b w:val="false"/>
          <w:bCs/>
          <w:color w:val="000000"/>
          <w:kern w:val="0"/>
          <w:sz w:val="24"/>
          <w:szCs w:val="24"/>
          <w:lang w:val="en-US" w:eastAsia="zh-CN"/>
        </w:rPr>
        <w:t>八</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关于质量担保的证明</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w:t>
      </w:r>
      <w:r>
        <w:rPr>
          <w:rFonts w:ascii="Times New Roman" w:hAnsi="Times New Roman" w:cs="Times New Roman" w:eastAsia="黑体"/>
          <w:b w:val="false"/>
          <w:bCs/>
          <w:color w:val="000000"/>
          <w:kern w:val="0"/>
          <w:sz w:val="24"/>
          <w:szCs w:val="24"/>
          <w:lang w:val="en-US" w:eastAsia="zh-CN"/>
        </w:rPr>
        <w:t>九</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关于物业管理的约定</w:t>
      </w:r>
    </w:p>
    <w:p>
      <w:pPr>
        <w:pStyle w:val="Normal"/>
        <w:numPr>
          <w:ilvl w:val="0"/>
          <w:numId w:val="16"/>
        </w:numPr>
        <w:autoSpaceDE w:val="false"/>
        <w:ind w:firstLine="480" w:start="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前期物业服务合同</w:t>
      </w:r>
    </w:p>
    <w:p>
      <w:pPr>
        <w:pStyle w:val="Normal"/>
        <w:numPr>
          <w:ilvl w:val="0"/>
          <w:numId w:val="16"/>
        </w:numPr>
        <w:autoSpaceDE w:val="false"/>
        <w:ind w:firstLine="480" w:start="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临时管理规约</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附件十</w:t>
      </w:r>
      <w:r>
        <w:rPr>
          <w:rFonts w:ascii="Times New Roman" w:hAnsi="Times New Roman" w:cs="Times New Roman" w:eastAsia="Times New Roman"/>
          <w:b w:val="false"/>
          <w:bCs/>
          <w:color w:val="000000"/>
          <w:kern w:val="0"/>
          <w:sz w:val="24"/>
          <w:szCs w:val="24"/>
          <w:lang w:val="en-US" w:eastAsia="zh-CN"/>
        </w:rPr>
        <w:t xml:space="preserve"> </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出卖人关于遮挡或妨碍房屋正常使用情况的说明</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（如：</w:t>
      </w:r>
      <w:r>
        <w:rPr>
          <w:rFonts w:ascii="方正仿宋_GB2312;方正仿宋_GB2312" w:hAnsi="方正仿宋_GB2312;方正仿宋_GB2312" w:cs="方正仿宋_GB2312;方正仿宋_GB2312" w:eastAsia="方正仿宋_GB2312;方正仿宋_GB2312"/>
          <w:b w:val="false"/>
          <w:bCs/>
          <w:color w:val="000000"/>
          <w:spacing w:val="-3"/>
          <w:kern w:val="0"/>
          <w:sz w:val="24"/>
          <w:szCs w:val="24"/>
        </w:rPr>
        <w:t>该商品房公共管道检修口、柱子、变电箱等有遮挡或妨碍房屋正常使用的情况</w:t>
      </w:r>
      <w:r>
        <w:rPr>
          <w:rFonts w:ascii="方正仿宋_GB2312;方正仿宋_GB2312" w:hAnsi="方正仿宋_GB2312;方正仿宋_GB2312" w:cs="方正仿宋_GB2312;方正仿宋_GB2312" w:eastAsia="方正仿宋_GB2312;方正仿宋_GB2312"/>
          <w:b w:val="false"/>
          <w:bCs/>
          <w:color w:val="000000"/>
          <w:kern w:val="0"/>
          <w:sz w:val="24"/>
          <w:szCs w:val="24"/>
        </w:rPr>
        <w:t>）</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附件十</w:t>
      </w:r>
      <w:r>
        <w:rPr>
          <w:rFonts w:ascii="Times New Roman" w:hAnsi="Times New Roman" w:cs="Times New Roman" w:eastAsia="黑体"/>
          <w:b w:val="false"/>
          <w:bCs/>
          <w:color w:val="000000"/>
          <w:kern w:val="0"/>
          <w:sz w:val="24"/>
          <w:szCs w:val="24"/>
          <w:lang w:val="en-US" w:eastAsia="zh-CN"/>
        </w:rPr>
        <w:t>一</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车位、车库或者停车设施买卖、赠予、租赁协议书</w:t>
      </w:r>
    </w:p>
    <w:p>
      <w:pPr>
        <w:pStyle w:val="Normal"/>
        <w:autoSpaceDE w:val="false"/>
        <w:ind w:firstLine="480" w:end="0"/>
        <w:rPr>
          <w:rFonts w:ascii="方正仿宋_GB2312;方正仿宋_GB2312" w:hAnsi="方正仿宋_GB2312;方正仿宋_GB2312" w:eastAsia="方正仿宋_GB2312;方正仿宋_GB2312" w:cs="方正仿宋_GB2312;方正仿宋_GB2312"/>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（车位、车库或者停车设施的坐落位置、产权约定、使用期限、面积或尺寸、价款与结算、交付、违约责任等）</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附件十</w:t>
      </w:r>
      <w:r>
        <w:rPr>
          <w:rFonts w:ascii="Times New Roman" w:hAnsi="Times New Roman" w:cs="Times New Roman" w:eastAsia="黑体"/>
          <w:b w:val="false"/>
          <w:bCs/>
          <w:color w:val="000000"/>
          <w:kern w:val="0"/>
          <w:sz w:val="24"/>
          <w:szCs w:val="24"/>
          <w:lang w:val="en-US" w:eastAsia="zh-CN"/>
        </w:rPr>
        <w:t>二</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其他物业买卖、赠予、租赁协议书</w:t>
      </w:r>
    </w:p>
    <w:p>
      <w:pPr>
        <w:pStyle w:val="Normal"/>
        <w:autoSpaceDE w:val="false"/>
        <w:ind w:firstLine="480" w:end="0"/>
        <w:rPr>
          <w:rFonts w:ascii="Times New Roman" w:hAnsi="Times New Roman" w:cs="Times New Roman"/>
          <w:b w:val="false"/>
          <w:bCs/>
          <w:color w:val="000000"/>
          <w:kern w:val="0"/>
          <w:sz w:val="24"/>
          <w:szCs w:val="24"/>
          <w:highlight w:val="none"/>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rPr>
        <w:t>（该物业的名称、面积或尺寸、物业及占用土地的权属情况、价款与结算、交付、违约责任等）</w:t>
      </w:r>
    </w:p>
    <w:p>
      <w:pPr>
        <w:pStyle w:val="Normal"/>
        <w:autoSpaceDE w:val="false"/>
        <w:ind w:firstLine="480" w:end="0"/>
        <w:rPr>
          <w:rFonts w:ascii="Times New Roman" w:hAnsi="Times New Roman" w:eastAsia="黑体" w:cs="Times New Roman"/>
          <w:b w:val="false"/>
          <w:bCs/>
          <w:color w:val="000000"/>
          <w:kern w:val="0"/>
          <w:sz w:val="24"/>
          <w:szCs w:val="24"/>
          <w:highlight w:val="none"/>
        </w:rPr>
      </w:pPr>
      <w:r>
        <w:rPr>
          <w:rFonts w:ascii="Times New Roman" w:hAnsi="Times New Roman" w:cs="Times New Roman" w:eastAsia="黑体"/>
          <w:b w:val="false"/>
          <w:bCs/>
          <w:color w:val="000000"/>
          <w:kern w:val="0"/>
          <w:sz w:val="24"/>
          <w:szCs w:val="24"/>
        </w:rPr>
        <w:t>附件十</w:t>
      </w:r>
      <w:r>
        <w:rPr>
          <w:rFonts w:ascii="Times New Roman" w:hAnsi="Times New Roman" w:cs="Times New Roman" w:eastAsia="黑体"/>
          <w:b w:val="false"/>
          <w:bCs/>
          <w:color w:val="000000"/>
          <w:kern w:val="0"/>
          <w:sz w:val="24"/>
          <w:szCs w:val="24"/>
          <w:lang w:val="en-US" w:eastAsia="zh-CN"/>
        </w:rPr>
        <w:t>三</w:t>
      </w:r>
      <w:r>
        <w:rPr>
          <w:rFonts w:ascii="Times New Roman" w:hAnsi="Times New Roman" w:cs="Times New Roman" w:eastAsia="Times New Roman"/>
          <w:b w:val="false"/>
          <w:bCs/>
          <w:color w:val="000000"/>
          <w:kern w:val="0"/>
          <w:sz w:val="24"/>
          <w:szCs w:val="24"/>
        </w:rPr>
        <w:t xml:space="preserve"> </w:t>
      </w:r>
      <w:r>
        <w:rPr>
          <w:rFonts w:ascii="Times New Roman" w:hAnsi="Times New Roman" w:cs="Times New Roman" w:eastAsia="黑体"/>
          <w:b w:val="false"/>
          <w:bCs/>
          <w:color w:val="000000"/>
          <w:kern w:val="0"/>
          <w:sz w:val="24"/>
          <w:szCs w:val="24"/>
        </w:rPr>
        <w:t>补充协议</w:t>
      </w:r>
    </w:p>
    <w:p>
      <w:pPr>
        <w:pStyle w:val="Normal"/>
        <w:ind w:firstLine="480" w:end="0"/>
        <w:rPr/>
      </w:pPr>
      <w:r>
        <w:rPr>
          <w:rFonts w:ascii="方正仿宋_GB2312;方正仿宋_GB2312" w:hAnsi="方正仿宋_GB2312;方正仿宋_GB2312" w:cs="方正仿宋_GB2312;方正仿宋_GB2312" w:eastAsia="方正仿宋_GB2312;方正仿宋_GB2312"/>
          <w:b w:val="false"/>
          <w:bCs/>
          <w:color w:val="000000"/>
          <w:kern w:val="0"/>
          <w:sz w:val="24"/>
          <w:szCs w:val="24"/>
          <w:lang w:val="en-US" w:eastAsia="zh-CN"/>
        </w:rPr>
        <w:t>（如变更或撤销商品房买卖合同网签备案、住宅专项维修资金</w:t>
      </w:r>
      <w:r>
        <w:rPr>
          <w:rFonts w:ascii="方正仿宋_GB2312;方正仿宋_GB2312" w:hAnsi="方正仿宋_GB2312;方正仿宋_GB2312" w:cs="方正仿宋_GB2312;方正仿宋_GB2312" w:eastAsia="方正仿宋_GB2312;方正仿宋_GB2312"/>
          <w:color w:val="000000"/>
          <w:kern w:val="0"/>
          <w:sz w:val="24"/>
          <w:szCs w:val="24"/>
          <w:lang w:val="en-US" w:eastAsia="zh-CN"/>
        </w:rPr>
        <w:t>、物业保修金等）</w:t>
      </w:r>
    </w:p>
    <w:sectPr>
      <w:footerReference w:type="default" r:id="rId3"/>
      <w:footerReference w:type="first" r:id="rId4"/>
      <w:type w:val="nextPage"/>
      <w:pgSz w:w="11906" w:h="16838"/>
      <w:pgMar w:left="1418" w:right="1418" w:gutter="0" w:header="0" w:top="1531" w:footer="1134" w:bottom="1588"/>
      <w:pgNumType w:start="3" w:fmt="decimal"/>
      <w:formProt w:val="false"/>
      <w:textDirection w:val="lrTb"/>
      <w:docGrid w:type="lines" w:linePitch="22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黑体">
    <w:charset w:val="86"/>
    <w:family w:val="auto"/>
    <w:pitch w:val="default"/>
  </w:font>
  <w:font w:name="仿宋_GB2312">
    <w:altName w:val="仿宋"/>
    <w:charset w:val="86"/>
    <w:family w:val="modern"/>
    <w:pitch w:val="default"/>
  </w:font>
  <w:font w:name="方正仿宋_GB2312">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3">
              <wp:simplePos x="0" y="0"/>
              <wp:positionH relativeFrom="margin">
                <wp:align>center</wp:align>
              </wp:positionH>
              <wp:positionV relativeFrom="paragraph">
                <wp:posOffset>635</wp:posOffset>
              </wp:positionV>
              <wp:extent cx="59055" cy="132715"/>
              <wp:effectExtent l="0" t="0" r="0" b="0"/>
              <wp:wrapNone/>
              <wp:docPr id="1" name="Frame1"/>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24.4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2">
              <wp:simplePos x="0" y="0"/>
              <wp:positionH relativeFrom="margin">
                <wp:align>center</wp:align>
              </wp:positionH>
              <wp:positionV relativeFrom="paragraph">
                <wp:posOffset>635</wp:posOffset>
              </wp:positionV>
              <wp:extent cx="116205" cy="132715"/>
              <wp:effectExtent l="0" t="0" r="0" b="0"/>
              <wp:wrapNone/>
              <wp:docPr id="2" name="Frame2"/>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23</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22.2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23</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25" w:hanging="425"/>
      </w:pPr>
      <w:rPr/>
    </w:lvl>
  </w:abstractNum>
  <w:abstractNum w:abstractNumId="2">
    <w:lvl w:ilvl="0">
      <w:start w:val="1"/>
      <w:numFmt w:val="decimal"/>
      <w:lvlText w:val="%1."/>
      <w:lvlJc w:val="start"/>
      <w:pPr>
        <w:tabs>
          <w:tab w:val="num" w:pos="0"/>
        </w:tabs>
        <w:ind w:start="425" w:hanging="425"/>
      </w:pPr>
      <w:rPr/>
    </w:lvl>
  </w:abstractNum>
  <w:abstractNum w:abstractNumId="3">
    <w:lvl w:ilvl="0">
      <w:start w:val="1"/>
      <w:numFmt w:val="decimal"/>
      <w:lvlText w:val="%1."/>
      <w:lvlJc w:val="start"/>
      <w:pPr>
        <w:tabs>
          <w:tab w:val="num" w:pos="0"/>
        </w:tabs>
        <w:ind w:start="425" w:hanging="425"/>
      </w:pPr>
      <w:rPr/>
    </w:lvl>
  </w:abstractNum>
  <w:abstractNum w:abstractNumId="4">
    <w:lvl w:ilvl="0">
      <w:start w:val="1"/>
      <w:numFmt w:val="decimal"/>
      <w:lvlText w:val="%1."/>
      <w:lvlJc w:val="start"/>
      <w:pPr>
        <w:tabs>
          <w:tab w:val="num" w:pos="0"/>
        </w:tabs>
        <w:ind w:start="425" w:hanging="425"/>
      </w:pPr>
      <w:rPr/>
    </w:lvl>
  </w:abstractNum>
  <w:abstractNum w:abstractNumId="5">
    <w:lvl w:ilvl="0">
      <w:start w:val="1"/>
      <w:numFmt w:val="decimal"/>
      <w:lvlText w:val="%1."/>
      <w:lvlJc w:val="start"/>
      <w:pPr>
        <w:tabs>
          <w:tab w:val="num" w:pos="0"/>
        </w:tabs>
        <w:ind w:start="425" w:hanging="425"/>
      </w:pPr>
      <w:rPr/>
    </w:lvl>
  </w:abstractNum>
  <w:abstractNum w:abstractNumId="6">
    <w:lvl w:ilvl="0">
      <w:start w:val="1"/>
      <w:numFmt w:val="decimal"/>
      <w:suff w:val="space"/>
      <w:lvlText w:val="%1."/>
      <w:lvlJc w:val="start"/>
      <w:pPr>
        <w:tabs>
          <w:tab w:val="num" w:pos="0"/>
        </w:tabs>
        <w:ind w:start="0" w:hanging="0"/>
      </w:pPr>
    </w:lvl>
  </w:abstractNum>
  <w:abstractNum w:abstractNumId="7">
    <w:lvl w:ilvl="0">
      <w:start w:val="1"/>
      <w:numFmt w:val="decimal"/>
      <w:suff w:val="nothing"/>
      <w:lvlText w:val="%1．"/>
      <w:lvlJc w:val="start"/>
      <w:pPr>
        <w:tabs>
          <w:tab w:val="num" w:pos="0"/>
        </w:tabs>
        <w:ind w:start="0" w:firstLine="400"/>
      </w:pPr>
      <w:rPr/>
    </w:lvl>
  </w:abstractNum>
  <w:abstractNum w:abstractNumId="8">
    <w:lvl w:ilvl="0">
      <w:start w:val="1"/>
      <w:numFmt w:val="decimal"/>
      <w:lvlText w:val="%1."/>
      <w:lvlJc w:val="start"/>
      <w:pPr>
        <w:tabs>
          <w:tab w:val="num" w:pos="0"/>
        </w:tabs>
        <w:ind w:start="425" w:hanging="425"/>
      </w:pPr>
      <w:rPr/>
    </w:lvl>
  </w:abstractNum>
  <w:abstractNum w:abstractNumId="9">
    <w:lvl w:ilvl="0">
      <w:start w:val="1"/>
      <w:numFmt w:val="decimal"/>
      <w:lvlText w:val="%1."/>
      <w:lvlJc w:val="start"/>
      <w:pPr>
        <w:tabs>
          <w:tab w:val="num" w:pos="0"/>
        </w:tabs>
        <w:ind w:start="425" w:hanging="425"/>
      </w:pPr>
      <w:rPr/>
    </w:lvl>
  </w:abstractNum>
  <w:abstractNum w:abstractNumId="10">
    <w:lvl w:ilvl="0">
      <w:start w:val="1"/>
      <w:numFmt w:val="decimal"/>
      <w:lvlText w:val="%1."/>
      <w:lvlJc w:val="start"/>
      <w:pPr>
        <w:tabs>
          <w:tab w:val="num" w:pos="0"/>
        </w:tabs>
        <w:ind w:start="425" w:hanging="425"/>
      </w:pPr>
      <w:rPr/>
    </w:lvl>
  </w:abstractNum>
  <w:abstractNum w:abstractNumId="11">
    <w:lvl w:ilvl="0">
      <w:start w:val="1"/>
      <w:numFmt w:val="decimal"/>
      <w:lvlText w:val="%1."/>
      <w:lvlJc w:val="start"/>
      <w:pPr>
        <w:tabs>
          <w:tab w:val="num" w:pos="0"/>
        </w:tabs>
        <w:ind w:start="425" w:hanging="425"/>
      </w:pPr>
      <w:rPr/>
    </w:lvl>
  </w:abstractNum>
  <w:abstractNum w:abstractNumId="12">
    <w:lvl w:ilvl="0">
      <w:start w:val="1"/>
      <w:numFmt w:val="decimal"/>
      <w:lvlText w:val="%1."/>
      <w:lvlJc w:val="start"/>
      <w:pPr>
        <w:tabs>
          <w:tab w:val="num" w:pos="0"/>
        </w:tabs>
        <w:ind w:start="425" w:hanging="425"/>
      </w:pPr>
      <w:rPr/>
    </w:lvl>
  </w:abstractNum>
  <w:abstractNum w:abstractNumId="13">
    <w:lvl w:ilvl="0">
      <w:start w:val="2"/>
      <w:numFmt w:val="decimal"/>
      <w:suff w:val="space"/>
      <w:lvlText w:val="%1."/>
      <w:lvlJc w:val="start"/>
      <w:pPr>
        <w:tabs>
          <w:tab w:val="num" w:pos="0"/>
        </w:tabs>
        <w:ind w:start="0" w:hanging="0"/>
      </w:pPr>
    </w:lvl>
  </w:abstractNum>
  <w:abstractNum w:abstractNumId="14">
    <w:lvl w:ilvl="0">
      <w:start w:val="1"/>
      <w:numFmt w:val="decimal"/>
      <w:lvlText w:val="%1."/>
      <w:lvlJc w:val="start"/>
      <w:pPr>
        <w:tabs>
          <w:tab w:val="num" w:pos="0"/>
        </w:tabs>
        <w:ind w:start="425" w:hanging="425"/>
      </w:pPr>
      <w:rPr/>
    </w:lvl>
  </w:abstractNum>
  <w:abstractNum w:abstractNumId="15">
    <w:lvl w:ilvl="0">
      <w:start w:val="2"/>
      <w:numFmt w:val="decimal"/>
      <w:suff w:val="space"/>
      <w:lvlText w:val="%1."/>
      <w:lvlJc w:val="start"/>
      <w:pPr>
        <w:tabs>
          <w:tab w:val="num" w:pos="0"/>
        </w:tabs>
        <w:ind w:start="0" w:hanging="0"/>
      </w:pPr>
    </w:lvl>
  </w:abstractNum>
  <w:abstractNum w:abstractNumId="16">
    <w:lvl w:ilvl="0">
      <w:start w:val="1"/>
      <w:numFmt w:val="decimal"/>
      <w:lvlText w:val="%1."/>
      <w:lvlJc w:val="start"/>
      <w:pPr>
        <w:tabs>
          <w:tab w:val="num" w:pos="0"/>
        </w:tabs>
        <w:ind w:start="425" w:hanging="425"/>
      </w:pPr>
      <w:rPr/>
    </w:lvl>
  </w:abstractNum>
  <w:abstractNum w:abstractNumId="17">
    <w:lvl w:ilvl="0">
      <w:start w:val="7"/>
      <w:numFmt w:val="chineseCountingThousand"/>
      <w:suff w:val="space"/>
      <w:lvlText w:val="第%1条"/>
      <w:lvlJc w:val="start"/>
      <w:pPr>
        <w:tabs>
          <w:tab w:val="num" w:pos="0"/>
        </w:tabs>
        <w:ind w:start="0" w:hanging="0"/>
      </w:pPr>
      <w:rPr/>
    </w:lvl>
  </w:abstractNum>
  <w:abstractNum w:abstractNumId="18">
    <w:lvl w:ilvl="0">
      <w:start w:val="1"/>
      <w:numFmt w:val="decimal"/>
      <w:suff w:val="space"/>
      <w:lvlText w:val="%1."/>
      <w:lvlJc w:val="start"/>
      <w:pPr>
        <w:tabs>
          <w:tab w:val="num" w:pos="0"/>
        </w:tabs>
        <w:ind w:start="0" w:hanging="0"/>
      </w:pPr>
    </w:lvl>
  </w:abstractNum>
  <w:abstractNum w:abstractNumId="19">
    <w:lvl w:ilvl="0">
      <w:start w:val="1"/>
      <w:numFmt w:val="decimal"/>
      <w:lvlText w:val="%1."/>
      <w:lvlJc w:val="start"/>
      <w:pPr>
        <w:tabs>
          <w:tab w:val="num" w:pos="0"/>
        </w:tabs>
        <w:ind w:start="425" w:hanging="425"/>
      </w:pPr>
      <w:rPr/>
    </w:lvl>
  </w:abstractNum>
  <w:abstractNum w:abstractNumId="20">
    <w:lvl w:ilvl="0">
      <w:start w:val="1"/>
      <w:numFmt w:val="decimal"/>
      <w:lvlText w:val="%1."/>
      <w:lvlJc w:val="start"/>
      <w:pPr>
        <w:tabs>
          <w:tab w:val="num" w:pos="0"/>
        </w:tabs>
        <w:ind w:start="425" w:hanging="425"/>
      </w:pPr>
      <w:rPr/>
    </w:lvl>
  </w:abstractNum>
  <w:abstractNum w:abstractNumId="21">
    <w:lvl w:ilvl="0">
      <w:start w:val="1"/>
      <w:numFmt w:val="decimal"/>
      <w:lvlText w:val="%1."/>
      <w:lvlJc w:val="start"/>
      <w:pPr>
        <w:tabs>
          <w:tab w:val="num" w:pos="0"/>
        </w:tabs>
        <w:ind w:start="425" w:hanging="425"/>
      </w:pPr>
      <w:rPr/>
    </w:lvl>
  </w:abstractNum>
  <w:abstractNum w:abstractNumId="22">
    <w:lvl w:ilvl="0">
      <w:start w:val="2"/>
      <w:numFmt w:val="decimal"/>
      <w:suff w:val="space"/>
      <w:lvlText w:val="%1."/>
      <w:lvlJc w:val="start"/>
      <w:pPr>
        <w:tabs>
          <w:tab w:val="num" w:pos="0"/>
        </w:tabs>
        <w:ind w:start="0" w:hanging="0"/>
      </w:pPr>
    </w:lvl>
  </w:abstractNum>
  <w:abstractNum w:abstractNumId="23">
    <w:lvl w:ilvl="0">
      <w:start w:val="1"/>
      <w:numFmt w:val="decimal"/>
      <w:suff w:val="nothing"/>
      <w:lvlText w:val="%1．"/>
      <w:lvlJc w:val="start"/>
      <w:pPr>
        <w:tabs>
          <w:tab w:val="num" w:pos="0"/>
        </w:tabs>
        <w:ind w:start="0" w:firstLine="400"/>
      </w:pPr>
      <w:rPr/>
    </w:lvl>
  </w:abstractNum>
  <w:abstractNum w:abstractNumId="24">
    <w:lvl w:ilvl="0">
      <w:start w:val="1"/>
      <w:numFmt w:val="decimal"/>
      <w:lvlText w:val="%1."/>
      <w:lvlJc w:val="start"/>
      <w:pPr>
        <w:tabs>
          <w:tab w:val="num" w:pos="0"/>
        </w:tabs>
        <w:ind w:start="425" w:hanging="425"/>
      </w:pPr>
      <w:rPr/>
    </w:lvl>
  </w:abstractNum>
  <w:abstractNum w:abstractNumId="25">
    <w:lvl w:ilvl="0">
      <w:start w:val="1"/>
      <w:numFmt w:val="decimal"/>
      <w:lvlText w:val="%1."/>
      <w:lvlJc w:val="start"/>
      <w:pPr>
        <w:tabs>
          <w:tab w:val="num" w:pos="0"/>
        </w:tabs>
        <w:ind w:start="425" w:hanging="425"/>
      </w:pPr>
      <w:rPr/>
    </w:lvl>
  </w:abstractNum>
  <w:abstractNum w:abstractNumId="26">
    <w:lvl w:ilvl="0">
      <w:start w:val="1"/>
      <w:numFmt w:val="decimal"/>
      <w:lvlText w:val="%1."/>
      <w:lvlJc w:val="start"/>
      <w:pPr>
        <w:tabs>
          <w:tab w:val="num" w:pos="0"/>
        </w:tabs>
        <w:ind w:start="425" w:hanging="425"/>
      </w:pPr>
      <w:rPr/>
    </w:lvl>
  </w:abstractNum>
  <w:abstractNum w:abstractNumId="2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20"/>
  <w:trackRevisions/>
  <w:defaultTabStop w:val="420"/>
  <w:autoHyphenation w:val="true"/>
  <w:hyphenationZone w:val="0"/>
  <w:compat>
    <w:doNotExpandShiftReturn/>
    <w:compatSetting w:name="compatibilityMode" w:uri="http://schemas.microsoft.com/office/word" w:val="11"/>
  </w:compat>
  <w:docVars>
    <w:docVar w:name="commondata" w:val="eyJoZGlkIjoiYWIyYmNiOTM3Y2YwOTQwZTYxYjNjMmFiZWM0YzA3NzA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Style16"/>
    <w:qFormat/>
    <w:pPr>
      <w:widowControl w:val="false"/>
      <w:bidi w:val="0"/>
      <w:jc w:val="both"/>
    </w:pPr>
    <w:rPr>
      <w:rFonts w:ascii="Times New Roman" w:hAnsi="Times New Roman" w:eastAsia="宋体" w:cs="Times New Roman"/>
      <w:color w:val="auto"/>
      <w:kern w:val="2"/>
      <w:sz w:val="15"/>
      <w:szCs w:val="15"/>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4z0">
    <w:name w:val="WW8Num14z0"/>
    <w:qFormat/>
    <w:rPr/>
  </w:style>
  <w:style w:type="character" w:styleId="WW8Num16z0">
    <w:name w:val="WW8Num16z0"/>
    <w:qFormat/>
    <w:rPr/>
  </w:style>
  <w:style w:type="character" w:styleId="WW8Num17z0">
    <w:name w:val="WW8Num17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Style14">
    <w:name w:val="默认段落字体"/>
    <w:qFormat/>
    <w:rPr/>
  </w:style>
  <w:style w:type="character" w:styleId="Char">
    <w:name w:val="文档结构图 Char"/>
    <w:qFormat/>
    <w:rPr>
      <w:rFonts w:ascii="宋体" w:hAnsi="宋体" w:eastAsia="宋体"/>
      <w:kern w:val="2"/>
      <w:sz w:val="18"/>
      <w:szCs w:val="18"/>
    </w:rPr>
  </w:style>
  <w:style w:type="character" w:styleId="Char1">
    <w:name w:val="批注文字 Char"/>
    <w:basedOn w:val="Style14"/>
    <w:qFormat/>
    <w:rPr/>
  </w:style>
  <w:style w:type="character" w:styleId="Char2">
    <w:name w:val="批注框文本 Char"/>
    <w:qFormat/>
    <w:rPr>
      <w:sz w:val="18"/>
      <w:szCs w:val="18"/>
    </w:rPr>
  </w:style>
  <w:style w:type="character" w:styleId="Char3">
    <w:name w:val="页脚 Char"/>
    <w:qFormat/>
    <w:rPr>
      <w:sz w:val="18"/>
      <w:szCs w:val="18"/>
    </w:rPr>
  </w:style>
  <w:style w:type="character" w:styleId="Char4">
    <w:name w:val="页眉 Char"/>
    <w:qFormat/>
    <w:rPr>
      <w:sz w:val="18"/>
      <w:szCs w:val="18"/>
    </w:rPr>
  </w:style>
  <w:style w:type="character" w:styleId="Char5">
    <w:name w:val="批注主题 Char"/>
    <w:qFormat/>
    <w:rPr>
      <w:b/>
      <w:bCs/>
    </w:rPr>
  </w:style>
  <w:style w:type="character" w:styleId="Strong">
    <w:name w:val="Strong"/>
    <w:qFormat/>
    <w:rPr>
      <w:b/>
      <w:bCs/>
    </w:rPr>
  </w:style>
  <w:style w:type="character" w:styleId="PageNumber">
    <w:name w:val="page number"/>
    <w:basedOn w:val="Style14"/>
    <w:rPr/>
  </w:style>
  <w:style w:type="character" w:styleId="Style15">
    <w:name w:val="批注引用"/>
    <w:qFormat/>
    <w:rPr>
      <w:sz w:val="21"/>
      <w:szCs w:val="21"/>
    </w:rPr>
  </w:style>
  <w:style w:type="character" w:styleId="CharChar5">
    <w:name w:val=" Char Char5"/>
    <w:basedOn w:val="Style14"/>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首行缩进"/>
    <w:basedOn w:val="Normal"/>
    <w:qFormat/>
    <w:pPr>
      <w:ind w:firstLine="480" w:start="0" w:end="0"/>
    </w:pPr>
    <w:rPr>
      <w:lang w:val="zh-CN"/>
    </w:rPr>
  </w:style>
  <w:style w:type="paragraph" w:styleId="Style17">
    <w:name w:val="文档结构图"/>
    <w:basedOn w:val="Normal"/>
    <w:qFormat/>
    <w:pPr/>
    <w:rPr>
      <w:rFonts w:ascii="宋体" w:hAnsi="宋体" w:eastAsia="宋体"/>
      <w:sz w:val="18"/>
      <w:szCs w:val="18"/>
    </w:rPr>
  </w:style>
  <w:style w:type="paragraph" w:styleId="Style18">
    <w:name w:val="批注文字"/>
    <w:basedOn w:val="Normal"/>
    <w:qFormat/>
    <w:pPr>
      <w:jc w:val="start"/>
    </w:pPr>
    <w:rPr/>
  </w:style>
  <w:style w:type="paragraph" w:styleId="Style19">
    <w:name w:val="日期"/>
    <w:basedOn w:val="Normal"/>
    <w:next w:val="Normal"/>
    <w:qFormat/>
    <w:pPr>
      <w:ind w:hanging="0" w:start="100" w:end="0"/>
    </w:pPr>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1">
    <w:name w:val="批注主题"/>
    <w:basedOn w:val="Style18"/>
    <w:next w:val="Style18"/>
    <w:qFormat/>
    <w:pPr/>
    <w:rPr>
      <w:b/>
      <w:bCs/>
    </w:rPr>
  </w:style>
  <w:style w:type="paragraph" w:styleId="1">
    <w:name w:val="修订1"/>
    <w:qFormat/>
    <w:pPr>
      <w:widowControl/>
      <w:bidi w:val="0"/>
    </w:pPr>
    <w:rPr>
      <w:rFonts w:ascii="Times New Roman" w:hAnsi="Times New Roman" w:eastAsia="宋体" w:cs="Times New Roman"/>
      <w:color w:val="auto"/>
      <w:kern w:val="2"/>
      <w:sz w:val="21"/>
      <w:szCs w:val="22"/>
      <w:lang w:val="en-US" w:eastAsia="zh-CN" w:bidi="ar-SA"/>
    </w:rPr>
  </w:style>
  <w:style w:type="paragraph" w:styleId="2">
    <w:name w:val="列出段落2"/>
    <w:basedOn w:val="Normal"/>
    <w:qFormat/>
    <w:pPr>
      <w:ind w:firstLine="420" w:start="0" w:end="0"/>
    </w:pPr>
    <w:rPr/>
  </w:style>
  <w:style w:type="paragraph" w:styleId="Default">
    <w:name w:val="Default"/>
    <w:qFormat/>
    <w:pPr>
      <w:widowControl w:val="false"/>
      <w:autoSpaceDE w:val="false"/>
      <w:bidi w:val="0"/>
    </w:pPr>
    <w:rPr>
      <w:rFonts w:ascii="黑体" w:hAnsi="黑体" w:eastAsia="宋体" w:cs="黑体"/>
      <w:color w:val="000000"/>
      <w:sz w:val="24"/>
      <w:szCs w:val="24"/>
      <w:lang w:val="en-US" w:eastAsia="zh-CN" w:bidi="ar-SA"/>
    </w:rPr>
  </w:style>
  <w:style w:type="paragraph" w:styleId="11">
    <w:name w:val="列出段落1"/>
    <w:basedOn w:val="Normal"/>
    <w:qFormat/>
    <w:pPr>
      <w:ind w:firstLine="420" w:start="0" w:end="0"/>
    </w:pPr>
    <w:rPr/>
  </w:style>
  <w:style w:type="paragraph" w:styleId="Char6">
    <w:name w:val="Char"/>
    <w:basedOn w:val="Normal"/>
    <w:qFormat/>
    <w:pPr/>
    <w:rPr>
      <w:rFonts w:ascii="仿宋_GB2312;仿宋" w:hAnsi="仿宋_GB2312;仿宋" w:eastAsia="仿宋_GB2312;仿宋" w:cs="Times New Roman"/>
      <w:b/>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33120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2017-12-29T16:26:00Z</dcterms:created>
  <dc:creator>xuxin</dc:creator>
  <dc:description/>
  <dc:language>zh-CN</dc:language>
  <cp:lastModifiedBy>张亚丹</cp:lastModifiedBy>
  <cp:lastPrinted>2018-02-27T11:45:00Z</cp:lastPrinted>
  <dcterms:modified xsi:type="dcterms:W3CDTF">2023-08-01T11:16:24Z</dcterms:modified>
  <cp:revision>20</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0BEE5B563636459581D1B5B8C8F340CB</vt:lpwstr>
  </property>
  <property fmtid="{D5CDD505-2E9C-101B-9397-08002B2CF9AE}" pid="3" name="KSOProductBuildVer">
    <vt:lpwstr>2052-12.1.0.15120</vt:lpwstr>
  </property>
</Properties>
</file>