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 w:val="28"/>
          <w:szCs w:val="28"/>
        </w:rPr>
        <w:t>JF-2008-036</w:t>
      </w:r>
      <w:r>
        <w:rPr>
          <w:rFonts w:hint="eastAsia"/>
          <w:szCs w:val="21"/>
        </w:rPr>
        <w:t xml:space="preserve">                                </w:t>
      </w:r>
      <w:r>
        <w:rPr>
          <w:rFonts w:hint="eastAsia"/>
          <w:szCs w:val="21"/>
        </w:rPr>
        <w:t>合同编号：</w:t>
      </w:r>
    </w:p>
    <w:p w:rsidR="00000000" w:rsidRDefault="00000000">
      <w:pPr>
        <w:snapToGrid w:val="0"/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  </w:t>
      </w:r>
      <w:r>
        <w:rPr>
          <w:rFonts w:hint="eastAsia"/>
          <w:szCs w:val="21"/>
        </w:rPr>
        <w:t>签订地点：</w:t>
      </w:r>
    </w:p>
    <w:p w:rsidR="00000000" w:rsidRDefault="00000000">
      <w:pPr>
        <w:pStyle w:val="3"/>
        <w:spacing w:line="240" w:lineRule="auto"/>
        <w:rPr>
          <w:rFonts w:ascii="方正小标宋_GBK" w:eastAsia="方正小标宋_GBK" w:hAnsi="方正小标宋_GBK" w:cs="方正小标宋_GBK" w:hint="eastAsia"/>
          <w:sz w:val="40"/>
          <w:szCs w:val="40"/>
        </w:rPr>
      </w:pPr>
      <w:r>
        <w:rPr>
          <w:rFonts w:ascii="方正小标宋_GBK" w:eastAsia="方正小标宋_GBK" w:hAnsi="方正小标宋_GBK" w:cs="方正小标宋_GBK" w:hint="eastAsia"/>
          <w:sz w:val="40"/>
          <w:szCs w:val="40"/>
        </w:rPr>
        <w:t>天津市化肥（农药、饲料）</w:t>
      </w:r>
      <w:r>
        <w:rPr>
          <w:rFonts w:ascii="方正小标宋_GBK" w:eastAsia="方正小标宋_GBK" w:hAnsi="方正小标宋_GBK" w:cs="方正小标宋_GBK" w:hint="eastAsia"/>
          <w:sz w:val="40"/>
          <w:szCs w:val="40"/>
        </w:rPr>
        <w:br/>
        <w:t>买卖合同</w:t>
      </w:r>
    </w:p>
    <w:p w:rsidR="00000000" w:rsidRDefault="00000000">
      <w:pPr>
        <w:snapToGrid w:val="0"/>
        <w:spacing w:line="420" w:lineRule="exact"/>
        <w:rPr>
          <w:rFonts w:ascii="方正书宋_GBK" w:eastAsia="方正书宋_GBK" w:hAnsi="方正书宋_GBK" w:cs="方正书宋_GBK" w:hint="eastAsia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出卖人：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  <w:bdr w:val="single" w:sz="4" w:space="0" w:color="auto"/>
        </w:rPr>
        <w:t xml:space="preserve">                                                      </w:t>
      </w:r>
    </w:p>
    <w:p w:rsidR="00000000" w:rsidRDefault="00000000">
      <w:pPr>
        <w:snapToGrid w:val="0"/>
        <w:spacing w:line="420" w:lineRule="exact"/>
        <w:rPr>
          <w:rFonts w:ascii="方正书宋_GBK" w:eastAsia="方正书宋_GBK" w:hAnsi="方正书宋_GBK" w:cs="方正书宋_GBK" w:hint="eastAsia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买受人：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                                                     </w:t>
      </w:r>
    </w:p>
    <w:p w:rsidR="00000000" w:rsidRDefault="00000000">
      <w:pPr>
        <w:snapToGrid w:val="0"/>
        <w:spacing w:line="420" w:lineRule="exact"/>
        <w:ind w:firstLineChars="200" w:firstLine="440"/>
        <w:rPr>
          <w:rFonts w:ascii="方正书宋_GBK" w:eastAsia="方正书宋_GBK" w:hAnsi="方正书宋_GBK" w:cs="方正书宋_GBK" w:hint="eastAsia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根据《中华人民共和国合同法》及有关法律法规规定，双方本着平等、自愿、公平、诚实信用的原则，经协商一致，就化肥（农药、饲料）买卖达成如下有关事宜：</w:t>
      </w:r>
    </w:p>
    <w:p w:rsidR="00000000" w:rsidRDefault="00000000">
      <w:pPr>
        <w:snapToGrid w:val="0"/>
        <w:spacing w:line="420" w:lineRule="exact"/>
        <w:ind w:firstLineChars="200" w:firstLine="440"/>
        <w:rPr>
          <w:rFonts w:ascii="方正书宋_GBK" w:eastAsia="方正书宋_GBK" w:hAnsi="方正书宋_GBK" w:cs="方正书宋_GBK" w:hint="eastAsia"/>
          <w:sz w:val="22"/>
          <w:szCs w:val="22"/>
        </w:rPr>
      </w:pPr>
      <w:r>
        <w:rPr>
          <w:rStyle w:val="2Char"/>
          <w:rFonts w:ascii="方正书宋_GBK" w:eastAsia="方正书宋_GBK" w:hAnsi="方正书宋_GBK" w:cs="方正书宋_GBK" w:hint="eastAsia"/>
          <w:sz w:val="22"/>
          <w:szCs w:val="22"/>
        </w:rPr>
        <w:t>第一条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：出卖人出售的化肥（农药、饲料）为：</w:t>
      </w:r>
    </w:p>
    <w:tbl>
      <w:tblPr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9"/>
        <w:gridCol w:w="808"/>
        <w:gridCol w:w="402"/>
        <w:gridCol w:w="537"/>
        <w:gridCol w:w="682"/>
        <w:gridCol w:w="529"/>
        <w:gridCol w:w="529"/>
        <w:gridCol w:w="529"/>
        <w:gridCol w:w="551"/>
        <w:gridCol w:w="654"/>
        <w:gridCol w:w="654"/>
      </w:tblGrid>
      <w:tr w:rsidR="00000000">
        <w:trPr>
          <w:jc w:val="center"/>
        </w:trPr>
        <w:tc>
          <w:tcPr>
            <w:tcW w:w="583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  <w:r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  <w:t>品   名</w:t>
            </w:r>
          </w:p>
        </w:tc>
        <w:tc>
          <w:tcPr>
            <w:tcW w:w="620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  <w:r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  <w:t>规  格</w:t>
            </w:r>
          </w:p>
        </w:tc>
        <w:tc>
          <w:tcPr>
            <w:tcW w:w="314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  <w:r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  <w:t>产地</w:t>
            </w:r>
          </w:p>
        </w:tc>
        <w:tc>
          <w:tcPr>
            <w:tcW w:w="416" w:type="pct"/>
            <w:vAlign w:val="center"/>
          </w:tcPr>
          <w:p w:rsidR="00000000" w:rsidRDefault="00000000">
            <w:pPr>
              <w:spacing w:line="420" w:lineRule="exact"/>
              <w:ind w:rightChars="-77" w:right="-162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  <w:r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  <w:t>生产</w:t>
            </w:r>
          </w:p>
          <w:p w:rsidR="00000000" w:rsidRDefault="00000000">
            <w:pPr>
              <w:spacing w:line="420" w:lineRule="exact"/>
              <w:ind w:rightChars="-77" w:right="-162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  <w:r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  <w:t>日期</w:t>
            </w:r>
          </w:p>
        </w:tc>
        <w:tc>
          <w:tcPr>
            <w:tcW w:w="525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  <w:r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  <w:t>保质</w:t>
            </w:r>
          </w:p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  <w:r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  <w:t>日期</w:t>
            </w:r>
          </w:p>
        </w:tc>
        <w:tc>
          <w:tcPr>
            <w:tcW w:w="410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  <w:r>
              <w:rPr>
                <w:rFonts w:ascii="方正书宋_GBK" w:eastAsia="方正书宋_GBK" w:hAnsi="方正书宋_GBK" w:cs="方正书宋_GBK" w:hint="eastAsia"/>
                <w:kern w:val="0"/>
                <w:sz w:val="18"/>
                <w:szCs w:val="18"/>
              </w:rPr>
              <w:t>纯度</w:t>
            </w:r>
          </w:p>
        </w:tc>
        <w:tc>
          <w:tcPr>
            <w:tcW w:w="410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  <w:r>
              <w:rPr>
                <w:rFonts w:ascii="方正书宋_GBK" w:eastAsia="方正书宋_GBK" w:hAnsi="方正书宋_GBK" w:cs="方正书宋_GBK" w:hint="eastAsia"/>
                <w:kern w:val="0"/>
                <w:sz w:val="18"/>
                <w:szCs w:val="18"/>
              </w:rPr>
              <w:t>净度</w:t>
            </w:r>
          </w:p>
        </w:tc>
        <w:tc>
          <w:tcPr>
            <w:tcW w:w="410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  <w:r>
              <w:rPr>
                <w:rFonts w:ascii="方正书宋_GBK" w:eastAsia="方正书宋_GBK" w:hAnsi="方正书宋_GBK" w:cs="方正书宋_GBK" w:hint="eastAsia"/>
                <w:kern w:val="0"/>
                <w:sz w:val="18"/>
                <w:szCs w:val="18"/>
              </w:rPr>
              <w:t>水分</w:t>
            </w:r>
          </w:p>
        </w:tc>
        <w:tc>
          <w:tcPr>
            <w:tcW w:w="426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  <w:r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  <w:t>数量</w:t>
            </w:r>
          </w:p>
        </w:tc>
        <w:tc>
          <w:tcPr>
            <w:tcW w:w="444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  <w:r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  <w:t>单价（元）</w:t>
            </w:r>
          </w:p>
        </w:tc>
        <w:tc>
          <w:tcPr>
            <w:tcW w:w="442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  <w:r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  <w:t>总价（元）</w:t>
            </w:r>
          </w:p>
        </w:tc>
      </w:tr>
      <w:tr w:rsidR="00000000">
        <w:trPr>
          <w:jc w:val="center"/>
        </w:trPr>
        <w:tc>
          <w:tcPr>
            <w:tcW w:w="583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620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314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16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525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10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10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10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26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44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42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</w:tr>
      <w:tr w:rsidR="00000000">
        <w:trPr>
          <w:jc w:val="center"/>
        </w:trPr>
        <w:tc>
          <w:tcPr>
            <w:tcW w:w="583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620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314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16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525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10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10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10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26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44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42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</w:tr>
      <w:tr w:rsidR="00000000">
        <w:trPr>
          <w:jc w:val="center"/>
        </w:trPr>
        <w:tc>
          <w:tcPr>
            <w:tcW w:w="583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620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314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16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525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10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10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10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26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44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42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</w:tr>
      <w:tr w:rsidR="00000000">
        <w:trPr>
          <w:jc w:val="center"/>
        </w:trPr>
        <w:tc>
          <w:tcPr>
            <w:tcW w:w="583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620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314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16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525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10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10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10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26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44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  <w:tc>
          <w:tcPr>
            <w:tcW w:w="442" w:type="pct"/>
            <w:vAlign w:val="center"/>
          </w:tcPr>
          <w:p w:rsidR="00000000" w:rsidRDefault="00000000">
            <w:pPr>
              <w:spacing w:line="420" w:lineRule="exact"/>
              <w:jc w:val="center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</w:p>
        </w:tc>
      </w:tr>
      <w:tr w:rsidR="00000000">
        <w:trPr>
          <w:jc w:val="center"/>
        </w:trPr>
        <w:tc>
          <w:tcPr>
            <w:tcW w:w="5000" w:type="pct"/>
            <w:gridSpan w:val="11"/>
            <w:vAlign w:val="center"/>
          </w:tcPr>
          <w:p w:rsidR="00000000" w:rsidRDefault="00000000">
            <w:pPr>
              <w:spacing w:line="420" w:lineRule="exact"/>
              <w:rPr>
                <w:rFonts w:ascii="方正书宋_GBK" w:eastAsia="方正书宋_GBK" w:hAnsi="方正书宋_GBK" w:cs="方正书宋_GBK" w:hint="eastAsia"/>
                <w:sz w:val="18"/>
                <w:szCs w:val="18"/>
              </w:rPr>
            </w:pPr>
            <w:r>
              <w:rPr>
                <w:rFonts w:ascii="方正书宋_GBK" w:eastAsia="方正书宋_GBK" w:hAnsi="方正书宋_GBK" w:cs="方正书宋_GBK" w:hint="eastAsia"/>
                <w:kern w:val="0"/>
                <w:sz w:val="18"/>
                <w:szCs w:val="18"/>
              </w:rPr>
              <w:t>合计人民币金额（大写）：     万     仟     佰      拾      元     角     分</w:t>
            </w:r>
          </w:p>
        </w:tc>
      </w:tr>
    </w:tbl>
    <w:p w:rsidR="00000000" w:rsidRDefault="00000000">
      <w:pPr>
        <w:snapToGrid w:val="0"/>
        <w:spacing w:line="420" w:lineRule="exact"/>
        <w:ind w:firstLineChars="200" w:firstLine="440"/>
        <w:rPr>
          <w:rFonts w:ascii="方正书宋_GBK" w:eastAsia="方正书宋_GBK" w:hAnsi="方正书宋_GBK" w:cs="方正书宋_GBK" w:hint="eastAsia"/>
          <w:sz w:val="22"/>
          <w:szCs w:val="22"/>
        </w:rPr>
      </w:pPr>
    </w:p>
    <w:p w:rsidR="00000000" w:rsidRDefault="00000000">
      <w:pPr>
        <w:snapToGrid w:val="0"/>
        <w:spacing w:line="420" w:lineRule="exact"/>
        <w:ind w:firstLineChars="200" w:firstLine="440"/>
        <w:rPr>
          <w:rFonts w:ascii="方正书宋_GBK" w:eastAsia="方正书宋_GBK" w:hAnsi="方正书宋_GBK" w:cs="方正书宋_GBK" w:hint="eastAsia"/>
          <w:sz w:val="22"/>
          <w:szCs w:val="22"/>
        </w:rPr>
      </w:pPr>
      <w:r>
        <w:rPr>
          <w:rStyle w:val="2Char"/>
          <w:rFonts w:ascii="方正书宋_GBK" w:eastAsia="方正书宋_GBK" w:hAnsi="方正书宋_GBK" w:cs="方正书宋_GBK" w:hint="eastAsia"/>
          <w:sz w:val="22"/>
          <w:szCs w:val="22"/>
        </w:rPr>
        <w:t>第二条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：出卖人出售的化肥（农药、饲料）质量应符合，□国家标准；□行业标准；□企业标准。</w:t>
      </w:r>
    </w:p>
    <w:p w:rsidR="00000000" w:rsidRDefault="00000000">
      <w:pPr>
        <w:snapToGrid w:val="0"/>
        <w:spacing w:line="420" w:lineRule="exact"/>
        <w:ind w:firstLineChars="200" w:firstLine="440"/>
        <w:rPr>
          <w:rFonts w:ascii="方正书宋_GBK" w:eastAsia="方正书宋_GBK" w:hAnsi="方正书宋_GBK" w:cs="方正书宋_GBK" w:hint="eastAsia"/>
          <w:sz w:val="22"/>
          <w:szCs w:val="22"/>
        </w:rPr>
      </w:pPr>
      <w:r>
        <w:rPr>
          <w:rStyle w:val="2Char"/>
          <w:rFonts w:ascii="方正书宋_GBK" w:eastAsia="方正书宋_GBK" w:hAnsi="方正书宋_GBK" w:cs="方正书宋_GBK" w:hint="eastAsia"/>
          <w:sz w:val="22"/>
          <w:szCs w:val="22"/>
        </w:rPr>
        <w:t>第三条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：出卖人应提供以下相关证件：□《营业执照》；□《生产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lastRenderedPageBreak/>
        <w:t>许可证》；□《商标注册证》；□《代理销售授权书》；□《经营许可证》；□其他证明文件：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         </w:t>
      </w:r>
    </w:p>
    <w:p w:rsidR="00000000" w:rsidRDefault="00000000">
      <w:pPr>
        <w:snapToGrid w:val="0"/>
        <w:spacing w:line="420" w:lineRule="exact"/>
        <w:ind w:firstLineChars="200" w:firstLine="440"/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</w:pPr>
      <w:r>
        <w:rPr>
          <w:rStyle w:val="2Char"/>
          <w:rFonts w:ascii="方正书宋_GBK" w:eastAsia="方正书宋_GBK" w:hAnsi="方正书宋_GBK" w:cs="方正书宋_GBK" w:hint="eastAsia"/>
          <w:sz w:val="22"/>
          <w:szCs w:val="22"/>
        </w:rPr>
        <w:t>第四条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：买受人应在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       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年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    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月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    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日前向出卖人支付所购化肥（农药、饲料）款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     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元。出卖人应在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       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年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    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月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    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日前将买受人所购化肥（农药、饲料）交付买受人。交货地点为：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     </w:t>
      </w:r>
    </w:p>
    <w:p w:rsidR="00000000" w:rsidRDefault="00000000">
      <w:pPr>
        <w:snapToGrid w:val="0"/>
        <w:spacing w:line="420" w:lineRule="exact"/>
        <w:rPr>
          <w:rFonts w:ascii="方正书宋_GBK" w:eastAsia="方正书宋_GBK" w:hAnsi="方正书宋_GBK" w:cs="方正书宋_GBK" w:hint="eastAsia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                                                             </w:t>
      </w:r>
    </w:p>
    <w:p w:rsidR="00000000" w:rsidRDefault="00000000">
      <w:pPr>
        <w:snapToGrid w:val="0"/>
        <w:spacing w:line="420" w:lineRule="exact"/>
        <w:ind w:firstLineChars="200" w:firstLine="440"/>
        <w:rPr>
          <w:rFonts w:ascii="方正书宋_GBK" w:eastAsia="方正书宋_GBK" w:hAnsi="方正书宋_GBK" w:cs="方正书宋_GBK" w:hint="eastAsia"/>
          <w:sz w:val="22"/>
          <w:szCs w:val="22"/>
        </w:rPr>
      </w:pPr>
      <w:r>
        <w:rPr>
          <w:rStyle w:val="2Char"/>
          <w:rFonts w:ascii="方正书宋_GBK" w:eastAsia="方正书宋_GBK" w:hAnsi="方正书宋_GBK" w:cs="方正书宋_GBK" w:hint="eastAsia"/>
          <w:sz w:val="22"/>
          <w:szCs w:val="22"/>
        </w:rPr>
        <w:t>第五条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：验收：买受人应在出卖人交货后□当场；□日内对所购化肥（农药、饲料）进行验收；验收内容包括：化肥（农药、饲料）包装必须帖有中文标签或附具说明书，注明化肥（农药、饲料）名称、企业名称、产品批号、生产许可证号、有效成份、含量、重量、产品性能、用途、实用技术、使用技术和方法、生产日期、有效期和注意事项等。法律、法规另有规定的，从其规定。其他特殊要求：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               </w:t>
      </w:r>
    </w:p>
    <w:p w:rsidR="00000000" w:rsidRDefault="00000000">
      <w:pPr>
        <w:snapToGrid w:val="0"/>
        <w:spacing w:line="420" w:lineRule="exact"/>
        <w:ind w:firstLineChars="200" w:firstLine="440"/>
        <w:rPr>
          <w:rFonts w:ascii="方正书宋_GBK" w:eastAsia="方正书宋_GBK" w:hAnsi="方正书宋_GBK" w:cs="方正书宋_GBK" w:hint="eastAsia"/>
          <w:sz w:val="22"/>
          <w:szCs w:val="22"/>
        </w:rPr>
      </w:pPr>
      <w:r>
        <w:rPr>
          <w:rStyle w:val="2Char"/>
          <w:rFonts w:ascii="方正书宋_GBK" w:eastAsia="方正书宋_GBK" w:hAnsi="方正书宋_GBK" w:cs="方正书宋_GBK" w:hint="eastAsia"/>
          <w:sz w:val="22"/>
          <w:szCs w:val="22"/>
        </w:rPr>
        <w:t>第六条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：违约责任：</w:t>
      </w:r>
    </w:p>
    <w:p w:rsidR="00000000" w:rsidRDefault="00000000">
      <w:pPr>
        <w:snapToGrid w:val="0"/>
        <w:spacing w:line="420" w:lineRule="exact"/>
        <w:ind w:firstLineChars="200" w:firstLine="440"/>
        <w:rPr>
          <w:rFonts w:ascii="方正书宋_GBK" w:eastAsia="方正书宋_GBK" w:hAnsi="方正书宋_GBK" w:cs="方正书宋_GBK" w:hint="eastAsia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1.双方对所买卖化肥（农药、饲料）确认或相关职能部门出具证明，证明化肥（农药、饲料）违反本合同第一条、第二条、第五条约定的，买受人有权要求出卖人补足、换货或退货、并要求出卖人据实赔偿并支付违约金。</w:t>
      </w:r>
    </w:p>
    <w:p w:rsidR="00000000" w:rsidRDefault="00000000">
      <w:pPr>
        <w:snapToGrid w:val="0"/>
        <w:spacing w:line="420" w:lineRule="exact"/>
        <w:ind w:firstLineChars="200" w:firstLine="440"/>
        <w:rPr>
          <w:rFonts w:ascii="方正书宋_GBK" w:eastAsia="方正书宋_GBK" w:hAnsi="方正书宋_GBK" w:cs="方正书宋_GBK" w:hint="eastAsia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2.违反本合同规定的，违约方应每日按照总价款的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     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%的标准向对方支付违约金。</w:t>
      </w:r>
    </w:p>
    <w:p w:rsidR="00000000" w:rsidRDefault="00000000">
      <w:pPr>
        <w:snapToGrid w:val="0"/>
        <w:spacing w:line="420" w:lineRule="exact"/>
        <w:ind w:firstLineChars="200" w:firstLine="440"/>
        <w:rPr>
          <w:rFonts w:ascii="方正书宋_GBK" w:eastAsia="方正书宋_GBK" w:hAnsi="方正书宋_GBK" w:cs="方正书宋_GBK" w:hint="eastAsia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3.其他违约责任：</w:t>
      </w:r>
    </w:p>
    <w:p w:rsidR="00000000" w:rsidRDefault="00000000">
      <w:pPr>
        <w:snapToGrid w:val="0"/>
        <w:spacing w:line="420" w:lineRule="exact"/>
        <w:ind w:firstLineChars="200" w:firstLine="440"/>
        <w:rPr>
          <w:rFonts w:ascii="方正书宋_GBK" w:eastAsia="方正书宋_GBK" w:hAnsi="方正书宋_GBK" w:cs="方正书宋_GBK" w:hint="eastAsia"/>
          <w:sz w:val="22"/>
          <w:szCs w:val="22"/>
        </w:rPr>
      </w:pPr>
      <w:r>
        <w:rPr>
          <w:rStyle w:val="2Char"/>
          <w:rFonts w:ascii="方正书宋_GBK" w:eastAsia="方正书宋_GBK" w:hAnsi="方正书宋_GBK" w:cs="方正书宋_GBK" w:hint="eastAsia"/>
          <w:sz w:val="22"/>
          <w:szCs w:val="22"/>
        </w:rPr>
        <w:t>第七条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：合同争议的解决方式：</w:t>
      </w:r>
    </w:p>
    <w:p w:rsidR="00000000" w:rsidRDefault="00000000">
      <w:pPr>
        <w:snapToGrid w:val="0"/>
        <w:spacing w:line="420" w:lineRule="exact"/>
        <w:ind w:firstLineChars="200" w:firstLine="440"/>
        <w:rPr>
          <w:rFonts w:ascii="方正书宋_GBK" w:eastAsia="方正书宋_GBK" w:hAnsi="方正书宋_GBK" w:cs="方正书宋_GBK" w:hint="eastAsia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本合同发生争议，当事人协商解决，也可申请调解；协商或调解不成的，按下列第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      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方式解决：</w:t>
      </w:r>
    </w:p>
    <w:p w:rsidR="00000000" w:rsidRDefault="00000000">
      <w:pPr>
        <w:snapToGrid w:val="0"/>
        <w:spacing w:line="420" w:lineRule="exact"/>
        <w:ind w:firstLineChars="200" w:firstLine="440"/>
        <w:rPr>
          <w:rFonts w:ascii="方正书宋_GBK" w:eastAsia="方正书宋_GBK" w:hAnsi="方正书宋_GBK" w:cs="方正书宋_GBK" w:hint="eastAsia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lastRenderedPageBreak/>
        <w:t>1.向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            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仲裁委员会申请仲裁；</w:t>
      </w:r>
    </w:p>
    <w:p w:rsidR="00000000" w:rsidRDefault="00000000">
      <w:pPr>
        <w:snapToGrid w:val="0"/>
        <w:spacing w:line="420" w:lineRule="exact"/>
        <w:ind w:firstLineChars="200" w:firstLine="440"/>
        <w:rPr>
          <w:rFonts w:ascii="方正书宋_GBK" w:eastAsia="方正书宋_GBK" w:hAnsi="方正书宋_GBK" w:cs="方正书宋_GBK" w:hint="eastAsia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2.向人民法院起诉。</w:t>
      </w:r>
    </w:p>
    <w:p w:rsidR="00000000" w:rsidRDefault="00000000">
      <w:pPr>
        <w:snapToGrid w:val="0"/>
        <w:spacing w:line="420" w:lineRule="exact"/>
        <w:ind w:firstLineChars="200" w:firstLine="440"/>
        <w:rPr>
          <w:rFonts w:ascii="方正书宋_GBK" w:eastAsia="方正书宋_GBK" w:hAnsi="方正书宋_GBK" w:cs="方正书宋_GBK" w:hint="eastAsia"/>
          <w:sz w:val="22"/>
          <w:szCs w:val="22"/>
        </w:rPr>
      </w:pPr>
      <w:r>
        <w:rPr>
          <w:rStyle w:val="2Char"/>
          <w:rFonts w:ascii="方正书宋_GBK" w:eastAsia="方正书宋_GBK" w:hAnsi="方正书宋_GBK" w:cs="方正书宋_GBK" w:hint="eastAsia"/>
          <w:sz w:val="22"/>
          <w:szCs w:val="22"/>
        </w:rPr>
        <w:t>第八条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：本合同自双方签字之日起生效。本合同一式    份，双方各持    份，具有同等法律效力。</w:t>
      </w:r>
    </w:p>
    <w:p w:rsidR="00000000" w:rsidRDefault="00000000">
      <w:pPr>
        <w:snapToGrid w:val="0"/>
        <w:spacing w:line="420" w:lineRule="exact"/>
        <w:ind w:firstLineChars="200" w:firstLine="440"/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</w:pPr>
      <w:r>
        <w:rPr>
          <w:rStyle w:val="2Char"/>
          <w:rFonts w:ascii="方正书宋_GBK" w:eastAsia="方正书宋_GBK" w:hAnsi="方正书宋_GBK" w:cs="方正书宋_GBK" w:hint="eastAsia"/>
          <w:sz w:val="22"/>
          <w:szCs w:val="22"/>
        </w:rPr>
        <w:t>第九条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：其他约定事项：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                                   </w:t>
      </w:r>
    </w:p>
    <w:p w:rsidR="00000000" w:rsidRDefault="00000000">
      <w:pPr>
        <w:snapToGrid w:val="0"/>
        <w:spacing w:line="420" w:lineRule="exact"/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                                                             </w:t>
      </w:r>
    </w:p>
    <w:p w:rsidR="00000000" w:rsidRDefault="00000000">
      <w:pPr>
        <w:snapToGrid w:val="0"/>
        <w:spacing w:line="420" w:lineRule="exact"/>
        <w:ind w:firstLineChars="200" w:firstLine="440"/>
        <w:rPr>
          <w:rFonts w:ascii="方正书宋_GBK" w:eastAsia="方正书宋_GBK" w:hAnsi="方正书宋_GBK" w:cs="方正书宋_GBK" w:hint="eastAsia"/>
          <w:sz w:val="22"/>
          <w:szCs w:val="22"/>
        </w:rPr>
      </w:pPr>
    </w:p>
    <w:p w:rsidR="00000000" w:rsidRDefault="00000000">
      <w:pPr>
        <w:snapToGrid w:val="0"/>
        <w:spacing w:line="420" w:lineRule="exact"/>
        <w:ind w:firstLineChars="200" w:firstLine="440"/>
        <w:rPr>
          <w:rFonts w:ascii="方正书宋_GBK" w:eastAsia="方正书宋_GBK" w:hAnsi="方正书宋_GBK" w:cs="方正书宋_GBK" w:hint="eastAsia"/>
          <w:sz w:val="22"/>
          <w:szCs w:val="22"/>
        </w:rPr>
      </w:pPr>
    </w:p>
    <w:p w:rsidR="00000000" w:rsidRDefault="00000000">
      <w:pPr>
        <w:snapToGrid w:val="0"/>
        <w:spacing w:line="420" w:lineRule="exact"/>
        <w:rPr>
          <w:rFonts w:ascii="方正书宋_GBK" w:eastAsia="方正书宋_GBK" w:hAnsi="方正书宋_GBK" w:cs="方正书宋_GBK" w:hint="eastAsia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出卖人（签字或盖章）：                买受人（签字或盖章）：</w:t>
      </w:r>
    </w:p>
    <w:p w:rsidR="00000000" w:rsidRDefault="00000000">
      <w:pPr>
        <w:snapToGrid w:val="0"/>
        <w:spacing w:line="420" w:lineRule="exact"/>
        <w:rPr>
          <w:rFonts w:ascii="方正书宋_GBK" w:eastAsia="方正书宋_GBK" w:hAnsi="方正书宋_GBK" w:cs="方正书宋_GBK" w:hint="eastAsia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法定代表人：                         法定代表人：</w:t>
      </w:r>
    </w:p>
    <w:p w:rsidR="00000000" w:rsidRDefault="00000000">
      <w:pPr>
        <w:snapToGrid w:val="0"/>
        <w:spacing w:line="420" w:lineRule="exact"/>
        <w:rPr>
          <w:rFonts w:ascii="方正书宋_GBK" w:eastAsia="方正书宋_GBK" w:hAnsi="方正书宋_GBK" w:cs="方正书宋_GBK" w:hint="eastAsia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委托代理人：                         委托代理人：</w:t>
      </w:r>
    </w:p>
    <w:p w:rsidR="00000000" w:rsidRDefault="00000000">
      <w:pPr>
        <w:snapToGrid w:val="0"/>
        <w:spacing w:line="420" w:lineRule="exact"/>
        <w:rPr>
          <w:rFonts w:ascii="方正书宋_GBK" w:eastAsia="方正书宋_GBK" w:hAnsi="方正书宋_GBK" w:cs="方正书宋_GBK" w:hint="eastAsia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电      话：                         电      话：</w:t>
      </w:r>
    </w:p>
    <w:p w:rsidR="00000000" w:rsidRDefault="00000000">
      <w:pPr>
        <w:snapToGrid w:val="0"/>
        <w:spacing w:line="420" w:lineRule="exact"/>
        <w:rPr>
          <w:rFonts w:ascii="方正书宋_GBK" w:eastAsia="方正书宋_GBK" w:hAnsi="方正书宋_GBK" w:cs="方正书宋_GBK" w:hint="eastAsia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住      所：                         住      所：</w:t>
      </w:r>
    </w:p>
    <w:p w:rsidR="00000000" w:rsidRDefault="00000000">
      <w:pPr>
        <w:snapToGrid w:val="0"/>
        <w:spacing w:line="420" w:lineRule="exact"/>
        <w:rPr>
          <w:rFonts w:ascii="方正书宋_GBK" w:eastAsia="方正书宋_GBK" w:hAnsi="方正书宋_GBK" w:cs="方正书宋_GBK" w:hint="eastAsia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开  户  行：                         开  户  行：</w:t>
      </w:r>
    </w:p>
    <w:p w:rsidR="00000000" w:rsidRDefault="00000000">
      <w:pPr>
        <w:snapToGrid w:val="0"/>
        <w:spacing w:line="420" w:lineRule="exact"/>
        <w:rPr>
          <w:rFonts w:ascii="方正书宋_GBK" w:eastAsia="方正书宋_GBK" w:hAnsi="方正书宋_GBK" w:cs="方正书宋_GBK" w:hint="eastAsia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帐      号：                         帐      号：</w:t>
      </w:r>
    </w:p>
    <w:p w:rsidR="00000000" w:rsidRDefault="00000000">
      <w:pPr>
        <w:snapToGrid w:val="0"/>
        <w:spacing w:line="420" w:lineRule="exact"/>
        <w:rPr>
          <w:rFonts w:ascii="方正书宋_GBK" w:eastAsia="方正书宋_GBK" w:hAnsi="方正书宋_GBK" w:cs="方正书宋_GBK" w:hint="eastAsia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年   月   日                         年    月   日</w:t>
      </w:r>
    </w:p>
    <w:p w:rsidR="00000000" w:rsidRDefault="00000000">
      <w:pPr>
        <w:snapToGrid w:val="0"/>
        <w:spacing w:line="420" w:lineRule="exact"/>
        <w:ind w:firstLineChars="200" w:firstLine="440"/>
        <w:rPr>
          <w:rFonts w:ascii="方正书宋_GBK" w:eastAsia="方正书宋_GBK" w:hAnsi="方正书宋_GBK" w:cs="方正书宋_GBK" w:hint="eastAsia"/>
          <w:sz w:val="22"/>
          <w:szCs w:val="22"/>
        </w:rPr>
      </w:pPr>
    </w:p>
    <w:p w:rsidR="00030AA3" w:rsidRDefault="00030AA3">
      <w:pPr>
        <w:spacing w:line="420" w:lineRule="exact"/>
        <w:rPr>
          <w:rFonts w:ascii="方正书宋_GBK" w:eastAsia="方正书宋_GBK" w:hAnsi="方正书宋_GBK" w:cs="方正书宋_GBK" w:hint="eastAsia"/>
          <w:sz w:val="22"/>
          <w:szCs w:val="22"/>
        </w:rPr>
      </w:pPr>
    </w:p>
    <w:sectPr w:rsidR="00030AA3">
      <w:footerReference w:type="even" r:id="rId6"/>
      <w:footerReference w:type="default" r:id="rId7"/>
      <w:pgSz w:w="9185" w:h="12984"/>
      <w:pgMar w:top="1701" w:right="1304" w:bottom="1531" w:left="136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0AA3" w:rsidRDefault="00030AA3">
      <w:r>
        <w:separator/>
      </w:r>
    </w:p>
  </w:endnote>
  <w:endnote w:type="continuationSeparator" w:id="0">
    <w:p w:rsidR="00030AA3" w:rsidRDefault="00030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方正小标宋简体"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方正小标宋_GBK">
    <w:altName w:val="微软雅黑"/>
    <w:panose1 w:val="020B0604020202020204"/>
    <w:charset w:val="86"/>
    <w:family w:val="script"/>
    <w:pitch w:val="fixed"/>
  </w:font>
  <w:font w:name="方正书宋_GBK">
    <w:altName w:val="微软雅黑"/>
    <w:panose1 w:val="020B0604020202020204"/>
    <w:charset w:val="86"/>
    <w:family w:val="script"/>
    <w:pitch w:val="fixed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000000" w:rsidRDefault="000000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lang w:val="en-US" w:eastAsia="zh-CN"/>
      </w:rPr>
      <w:t>3</w:t>
    </w:r>
    <w:r>
      <w:fldChar w:fldCharType="end"/>
    </w:r>
  </w:p>
  <w:p w:rsidR="00000000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0AA3" w:rsidRDefault="00030AA3">
      <w:r>
        <w:separator/>
      </w:r>
    </w:p>
  </w:footnote>
  <w:footnote w:type="continuationSeparator" w:id="0">
    <w:p w:rsidR="00030AA3" w:rsidRDefault="00030A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5B58"/>
    <w:rsid w:val="000108F8"/>
    <w:rsid w:val="00030AA3"/>
    <w:rsid w:val="000355B6"/>
    <w:rsid w:val="000A7995"/>
    <w:rsid w:val="0012373E"/>
    <w:rsid w:val="00127F88"/>
    <w:rsid w:val="001411D0"/>
    <w:rsid w:val="001C739B"/>
    <w:rsid w:val="0020295E"/>
    <w:rsid w:val="002672ED"/>
    <w:rsid w:val="002B347F"/>
    <w:rsid w:val="002F5B58"/>
    <w:rsid w:val="003069D9"/>
    <w:rsid w:val="00332200"/>
    <w:rsid w:val="00376AA9"/>
    <w:rsid w:val="00401D8F"/>
    <w:rsid w:val="00445BF3"/>
    <w:rsid w:val="00521DEA"/>
    <w:rsid w:val="00595DD8"/>
    <w:rsid w:val="005A05F6"/>
    <w:rsid w:val="006032E2"/>
    <w:rsid w:val="006507C2"/>
    <w:rsid w:val="006C15C1"/>
    <w:rsid w:val="00783B9A"/>
    <w:rsid w:val="00796316"/>
    <w:rsid w:val="007A60C3"/>
    <w:rsid w:val="008020FA"/>
    <w:rsid w:val="00810704"/>
    <w:rsid w:val="00812647"/>
    <w:rsid w:val="0083088A"/>
    <w:rsid w:val="008C7393"/>
    <w:rsid w:val="008F1A01"/>
    <w:rsid w:val="00924AC8"/>
    <w:rsid w:val="009501DA"/>
    <w:rsid w:val="009856F7"/>
    <w:rsid w:val="009B0108"/>
    <w:rsid w:val="009E0031"/>
    <w:rsid w:val="009E10F3"/>
    <w:rsid w:val="00A42D08"/>
    <w:rsid w:val="00A7726B"/>
    <w:rsid w:val="00AB0112"/>
    <w:rsid w:val="00AC56D2"/>
    <w:rsid w:val="00B841DF"/>
    <w:rsid w:val="00BE42B8"/>
    <w:rsid w:val="00C172C7"/>
    <w:rsid w:val="00C6687E"/>
    <w:rsid w:val="00C71258"/>
    <w:rsid w:val="00C82B24"/>
    <w:rsid w:val="00CE5ABD"/>
    <w:rsid w:val="00D35D2A"/>
    <w:rsid w:val="00D42831"/>
    <w:rsid w:val="00D66B90"/>
    <w:rsid w:val="00E32491"/>
    <w:rsid w:val="00ED393A"/>
    <w:rsid w:val="00F1003D"/>
    <w:rsid w:val="00F46CDD"/>
    <w:rsid w:val="00FA65E5"/>
    <w:rsid w:val="00FB628D"/>
    <w:rsid w:val="0EB140DB"/>
    <w:rsid w:val="101054FE"/>
    <w:rsid w:val="3B667C69"/>
    <w:rsid w:val="6BD660D4"/>
    <w:rsid w:val="7233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ABB74-5965-EB47-8340-C86BAEC6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2Char">
    <w:name w:val="样式2 Char"/>
    <w:link w:val="2"/>
    <w:rPr>
      <w:rFonts w:ascii="黑体" w:eastAsia="黑体"/>
      <w:kern w:val="2"/>
      <w:sz w:val="24"/>
      <w:szCs w:val="24"/>
      <w:lang w:val="en-US" w:eastAsia="zh-CN" w:bidi="ar-SA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ody Text Indent"/>
    <w:basedOn w:val="a"/>
    <w:pPr>
      <w:ind w:left="105"/>
    </w:pPr>
    <w:rPr>
      <w:rFonts w:ascii="楷体_GB2312" w:eastAsia="楷体_GB2312"/>
      <w:spacing w:val="-4"/>
      <w:sz w:val="28"/>
      <w:szCs w:val="20"/>
    </w:rPr>
  </w:style>
  <w:style w:type="paragraph" w:customStyle="1" w:styleId="3">
    <w:name w:val="样式3"/>
    <w:basedOn w:val="a"/>
    <w:pPr>
      <w:snapToGrid w:val="0"/>
      <w:spacing w:line="360" w:lineRule="auto"/>
      <w:jc w:val="center"/>
    </w:pPr>
    <w:rPr>
      <w:rFonts w:ascii="方正小标宋简体" w:eastAsia="方正小标宋简体"/>
      <w:sz w:val="44"/>
      <w:szCs w:val="44"/>
    </w:rPr>
  </w:style>
  <w:style w:type="paragraph" w:customStyle="1" w:styleId="2">
    <w:name w:val="样式2"/>
    <w:basedOn w:val="a"/>
    <w:link w:val="2Char"/>
    <w:pPr>
      <w:snapToGrid w:val="0"/>
      <w:spacing w:line="360" w:lineRule="auto"/>
      <w:ind w:firstLineChars="200" w:firstLine="480"/>
    </w:pPr>
    <w:rPr>
      <w:rFonts w:ascii="黑体" w:eastAsia="黑体"/>
      <w:sz w:val="24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260</Words>
  <Characters>1488</Characters>
  <Application>Microsoft Office Word</Application>
  <DocSecurity>0</DocSecurity>
  <Lines>12</Lines>
  <Paragraphs>3</Paragraphs>
  <ScaleCrop>false</ScaleCrop>
  <Company>WwW.YlmF.CoM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袁弘信</dc:creator>
  <cp:keywords/>
  <cp:lastModifiedBy>明灿 朱</cp:lastModifiedBy>
  <cp:revision>2</cp:revision>
  <dcterms:created xsi:type="dcterms:W3CDTF">2025-04-17T12:01:00Z</dcterms:created>
  <dcterms:modified xsi:type="dcterms:W3CDTF">2025-04-17T12:01:00Z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