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9"/>
        <w:spacing w:before="0" w:after="345"/>
        <w:ind w:start="32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LF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2003</w:t>
      </w: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一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010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6</w:t>
      </w:r>
    </w:p>
    <w:p>
      <w:pPr>
        <w:pStyle w:val="CM20"/>
        <w:spacing w:before="0" w:after="1450"/>
        <w:ind w:start="5552" w:end="0"/>
        <w:jc w:val="both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8"/>
          <w:szCs w:val="22"/>
          <w:lang w:val="en-US" w:eastAsia="zh-CN" w:bidi="ar-SA"/>
        </w:rPr>
      </w:pPr>
      <w:r>
        <w:rPr>
          <w:rFonts w:ascii="Times New Roman;Nimbus Roman No9 L" w:hAnsi="Times New Roman;Nimbus Roman No9 L" w:cs="Times New Roman;Nimbus Roman No9 L" w:eastAsia="仿宋_GB2312"/>
          <w:color w:val="000000"/>
          <w:kern w:val="0"/>
          <w:sz w:val="28"/>
          <w:szCs w:val="22"/>
          <w:lang w:val="en-US" w:eastAsia="zh-CN" w:bidi="ar-SA"/>
        </w:rPr>
        <w:t>合同编号</w:t>
      </w:r>
      <w:r>
        <w:rPr>
          <w:rFonts w:eastAsia="仿宋_GB2312" w:cs="Times New Roman;Nimbus Roman No9 L" w:ascii="Times New Roman;Nimbus Roman No9 L" w:hAnsi="Times New Roman;Nimbus Roman No9 L"/>
          <w:color w:val="000000"/>
          <w:kern w:val="0"/>
          <w:sz w:val="28"/>
          <w:szCs w:val="22"/>
          <w:lang w:val="en-US" w:eastAsia="zh-CN" w:bidi="ar-SA"/>
        </w:rPr>
        <w:t>:</w:t>
      </w:r>
    </w:p>
    <w:p>
      <w:pPr>
        <w:pStyle w:val="Normal"/>
        <w:jc w:val="start"/>
        <w:rPr>
          <w:rFonts w:ascii="Times New Roman;Nimbus Roman No9 L" w:hAnsi="Times New Roman;Nimbus Roman No9 L"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eastAsia="仿宋_GB2312" w:cs="Times New Roman;Nimbus Roman No9 L"/>
          <w:color w:val="000000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;Nimbus Roman No9 L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rFonts w:ascii="方正小标宋_GBK" w:hAnsi="方正小标宋_GBK" w:eastAsia="方正小标宋_GBK" w:cs="方正小标宋_GBK"/>
          <w:color w:val="000000"/>
          <w:kern w:val="2"/>
          <w:sz w:val="40"/>
          <w:szCs w:val="40"/>
          <w:lang w:val="en-US" w:eastAsia="zh-CN" w:bidi="ar-SA"/>
        </w:rPr>
      </w:pPr>
      <w:r>
        <w:rPr>
          <w:rFonts w:ascii="方正小标宋_GBK" w:hAnsi="方正小标宋_GBK" w:cs="方正小标宋_GBK" w:eastAsia="方正小标宋_GBK"/>
          <w:color w:val="000000"/>
          <w:kern w:val="2"/>
          <w:sz w:val="40"/>
          <w:szCs w:val="40"/>
          <w:lang w:val="en-US" w:eastAsia="zh-CN" w:bidi="ar-SA"/>
        </w:rPr>
        <w:t>委托代销合同</w:t>
      </w:r>
    </w:p>
    <w:p>
      <w:pPr>
        <w:pStyle w:val="Normal"/>
        <w:spacing w:before="0" w:after="2162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sz w:val="28"/>
          <w:szCs w:val="28"/>
          <w:lang w:val="en-US" w:eastAsia="zh-CN" w:bidi="ar-SA"/>
        </w:rPr>
        <w:t>（示范文本）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委托人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受托人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签订地点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>:</w:t>
      </w:r>
    </w:p>
    <w:p>
      <w:pPr>
        <w:pStyle w:val="CM20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atLeast" w:line="631"/>
        <w:ind w:end="1372"/>
        <w:jc w:val="both"/>
        <w:textAlignment w:val="auto"/>
        <w:rPr>
          <w:rFonts w:ascii="方正楷体_GBK" w:hAnsi="方正楷体_GBK" w:eastAsia="方正楷体_GBK" w:cs="方正楷体_GBK"/>
          <w:kern w:val="2"/>
          <w:sz w:val="28"/>
          <w:szCs w:val="28"/>
          <w:lang w:val="en-US" w:eastAsia="zh-CN" w:bidi="ar-SA"/>
        </w:rPr>
      </w:pP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签订时间</w:t>
      </w:r>
      <w:r>
        <w:rPr>
          <w:rFonts w:eastAsia="方正楷体_GBK" w:cs="方正楷体_GBK" w:ascii="方正楷体_GBK" w:hAnsi="方正楷体_GBK"/>
          <w:kern w:val="2"/>
          <w:sz w:val="28"/>
          <w:szCs w:val="28"/>
          <w:lang w:val="en-US" w:eastAsia="zh-CN" w:bidi="ar-SA"/>
        </w:rPr>
        <w:t xml:space="preserve">:         </w:t>
      </w:r>
      <w:r>
        <w:rPr>
          <w:rFonts w:ascii="方正楷体_GBK" w:hAnsi="方正楷体_GBK" w:cs="方正楷体_GBK" w:eastAsia="方正楷体_GBK"/>
          <w:kern w:val="2"/>
          <w:sz w:val="28"/>
          <w:szCs w:val="28"/>
          <w:lang w:val="en-US" w:eastAsia="zh-CN" w:bidi="ar-SA"/>
        </w:rPr>
        <w:t>年     月     日</w:t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 w:eastAsia="方正楷体_GBK" w:cs="方正楷体_GBK"/>
          <w:kern w:val="2"/>
          <w:sz w:val="40"/>
          <w:szCs w:val="24"/>
          <w:lang w:val="en-US" w:eastAsia="zh-CN" w:bidi="ar-SA"/>
        </w:rPr>
      </w:pPr>
      <w:r>
        <w:rPr>
          <w:rFonts w:eastAsia="方正楷体_GBK" w:cs="方正楷体_GBK" w:ascii="宋体;方正书宋_GBK" w:hAnsi="宋体;方正书宋_GBK"/>
          <w:kern w:val="2"/>
          <w:sz w:val="40"/>
          <w:szCs w:val="24"/>
          <w:lang w:val="en-US" w:eastAsia="zh-CN" w:bidi="ar-SA"/>
        </w:rPr>
      </w:r>
    </w:p>
    <w:p>
      <w:pPr>
        <w:pStyle w:val="CM21"/>
        <w:spacing w:before="0" w:after="200"/>
        <w:ind w:start="885" w:end="0"/>
        <w:jc w:val="both"/>
        <w:rPr>
          <w:rFonts w:ascii="宋体;方正书宋_GBK" w:hAnsi="宋体;方正书宋_GBK"/>
          <w:sz w:val="40"/>
          <w:szCs w:val="24"/>
        </w:rPr>
      </w:pPr>
      <w:r>
        <w:rPr>
          <w:rFonts w:ascii="宋体;方正书宋_GBK" w:hAnsi="宋体;方正书宋_GBK"/>
          <w:sz w:val="40"/>
          <w:szCs w:val="24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eastAsia="楷体_GB2312;楷体" w:cs="宋体;方正书宋_GBK" w:ascii="楷体_GB2312;楷体" w:hAnsi="楷体_GB2312;楷体"/>
          <w:color w:val="000000"/>
          <w:spacing w:val="18"/>
          <w:sz w:val="32"/>
          <w:szCs w:val="32"/>
          <w:lang w:val="en-US" w:eastAsia="zh-CN" w:bidi="ar-SA"/>
        </w:rPr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 xml:space="preserve">辽 宁 省 农 业 厅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4618355</wp:posOffset>
                </wp:positionH>
                <wp:positionV relativeFrom="paragraph">
                  <wp:posOffset>157480</wp:posOffset>
                </wp:positionV>
                <wp:extent cx="733425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楷体_GB2312;楷体" w:hAnsi="楷体_GB2312;楷体" w:eastAsia="楷体_GB2312;楷体"/>
                                <w:sz w:val="32"/>
                                <w:szCs w:val="32"/>
                                <w:lang w:eastAsia="zh-CN"/>
                              </w:rPr>
                              <w:t>监</w:t>
                            </w:r>
                            <w:r>
                              <w:rPr>
                                <w:rFonts w:ascii="楷体_GB2312;楷体" w:hAnsi="楷体_GB2312;楷体" w:eastAsia="楷体_GB2312;楷体"/>
                                <w:sz w:val="32"/>
                                <w:szCs w:val="32"/>
                              </w:rPr>
                              <w:t>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12.4pt;mso-position-vertical-relative:text;margin-left:363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楷体_GB2312;楷体" w:hAnsi="楷体_GB2312;楷体" w:eastAsia="楷体_GB2312;楷体"/>
                          <w:sz w:val="32"/>
                          <w:szCs w:val="32"/>
                          <w:lang w:eastAsia="zh-CN"/>
                        </w:rPr>
                        <w:t>监</w:t>
                      </w:r>
                      <w:r>
                        <w:rPr>
                          <w:rFonts w:ascii="楷体_GB2312;楷体" w:hAnsi="楷体_GB2312;楷体" w:eastAsia="楷体_GB2312;楷体"/>
                          <w:sz w:val="32"/>
                          <w:szCs w:val="32"/>
                        </w:rPr>
                        <w:t>制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5"/>
        <w:widowControl w:val="false"/>
        <w:snapToGrid w:val="false"/>
        <w:spacing w:lineRule="exact" w:line="482"/>
        <w:jc w:val="center"/>
        <w:rPr>
          <w:rFonts w:ascii="楷体_GB2312;楷体" w:hAnsi="楷体_GB2312;楷体" w:eastAsia="楷体_GB2312;楷体" w:cs="宋体;方正书宋_GBK"/>
          <w:color w:val="000000"/>
          <w:spacing w:val="18"/>
          <w:sz w:val="32"/>
          <w:szCs w:val="32"/>
          <w:lang w:val="en-US" w:eastAsia="zh-CN" w:bidi="ar-SA"/>
        </w:rPr>
      </w:pPr>
      <w:r>
        <w:rPr>
          <w:rFonts w:ascii="楷体_GB2312;楷体" w:hAnsi="楷体_GB2312;楷体" w:cs="宋体;方正书宋_GBK" w:eastAsia="楷体_GB2312;楷体"/>
          <w:color w:val="000000"/>
          <w:spacing w:val="18"/>
          <w:sz w:val="32"/>
          <w:szCs w:val="32"/>
          <w:lang w:val="en-US" w:eastAsia="zh-CN" w:bidi="ar-SA"/>
        </w:rPr>
        <w:t>辽宁省工商行政管理局</w:t>
      </w:r>
    </w:p>
    <w:p>
      <w:pPr>
        <w:pStyle w:val="Style15"/>
        <w:numPr>
          <w:ilvl w:val="0"/>
          <w:numId w:val="0"/>
        </w:numPr>
        <w:snapToGrid w:val="false"/>
        <w:spacing w:lineRule="exact" w:line="482"/>
        <w:ind w:end="105"/>
        <w:jc w:val="center"/>
        <w:outlineLvl w:val="1"/>
        <w:rPr>
          <w:rFonts w:ascii="楷体_GB2312;楷体" w:hAnsi="楷体_GB2312;楷体" w:eastAsia="楷体_GB2312;楷体" w:cs="宋体;方正书宋_GBK"/>
          <w:color w:val="000000"/>
          <w:sz w:val="32"/>
          <w:szCs w:val="32"/>
          <w:lang w:eastAsia="zh-CN"/>
        </w:rPr>
      </w:pP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  <w:lang w:eastAsia="zh-CN"/>
        </w:rPr>
        <w:t>二〇〇三年二</w:t>
      </w:r>
      <w:r>
        <w:rPr>
          <w:rFonts w:ascii="楷体_GB2312;楷体" w:hAnsi="楷体_GB2312;楷体" w:cs="宋体;方正书宋_GBK" w:eastAsia="楷体_GB2312;楷体"/>
          <w:color w:val="000000"/>
          <w:sz w:val="32"/>
          <w:szCs w:val="32"/>
        </w:rPr>
        <w:t>月</w:t>
      </w:r>
    </w:p>
    <w:p>
      <w:pPr>
        <w:pStyle w:val="CM19"/>
        <w:spacing w:lineRule="atLeast" w:line="623" w:before="0" w:after="345"/>
        <w:ind w:firstLine="475" w:start="1607" w:end="1232"/>
        <w:jc w:val="both"/>
        <w:rPr>
          <w:rFonts w:ascii="宋体;方正书宋_GBK" w:hAnsi="宋体;方正书宋_GBK" w:eastAsia="楷体_GB2312;楷体" w:cs="宋体;方正书宋_GBK"/>
          <w:color w:val="4E5045"/>
          <w:sz w:val="21"/>
          <w:szCs w:val="24"/>
          <w:lang w:eastAsia="zh-CN"/>
        </w:rPr>
      </w:pPr>
      <w:r>
        <w:rPr>
          <w:rFonts w:eastAsia="楷体_GB2312;楷体" w:cs="宋体;方正书宋_GBK" w:ascii="宋体;方正书宋_GBK" w:hAnsi="宋体;方正书宋_GBK"/>
          <w:color w:val="4E5045"/>
          <w:sz w:val="21"/>
          <w:szCs w:val="24"/>
          <w:lang w:eastAsia="zh-CN"/>
        </w:rPr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根据《中华人民共和国种子法》、《中华人民共和国合同法》及其有关规定，双方在平等自愿的基础上协商达成协议如下：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第一条 委托人委托受托人代销的作物、品种、数量、价款及交（提）货时间</w:t>
      </w:r>
    </w:p>
    <w:tbl>
      <w:tblPr>
        <w:tblW w:w="9208" w:type="dxa"/>
        <w:jc w:val="start"/>
        <w:tblInd w:w="17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8"/>
        <w:gridCol w:w="776"/>
        <w:gridCol w:w="763"/>
        <w:gridCol w:w="788"/>
        <w:gridCol w:w="752"/>
        <w:gridCol w:w="824"/>
        <w:gridCol w:w="800"/>
        <w:gridCol w:w="800"/>
        <w:gridCol w:w="2907"/>
      </w:tblGrid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作物</w:t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品种</w:t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产地</w:t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商标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计量单位</w:t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数量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单价</w:t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金额</w:t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交（提）货时间及数量</w:t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  <w:tc>
          <w:tcPr>
            <w:tcW w:w="2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"/>
              <w:keepNext w:val="false"/>
              <w:keepLines w:val="false"/>
              <w:widowControl w:val="false"/>
              <w:kinsoku w:val="true"/>
              <w:overflowPunct w:val="true"/>
              <w:autoSpaceDE w:val="fals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r>
          </w:p>
        </w:tc>
      </w:tr>
    </w:tbl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572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（注：空格如不够用，可以另接）</w:t>
      </w:r>
    </w:p>
    <w:p>
      <w:pPr>
        <w:pStyle w:val="CM19"/>
        <w:keepNext w:val="false"/>
        <w:keepLines w:val="false"/>
        <w:pageBreakBefore w:val="false"/>
        <w:widowControl w:val="false"/>
        <w:kinsoku w:val="true"/>
        <w:overflowPunct w:val="true"/>
        <w:autoSpaceDE w:val="false"/>
        <w:bidi w:val="0"/>
        <w:snapToGrid w:val="true"/>
        <w:spacing w:lineRule="exact" w:line="420"/>
        <w:ind w:firstLine="440" w:end="1230"/>
        <w:jc w:val="both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第二条 质量标准（纯度、净度、芽率、水分）</w:t>
      </w:r>
    </w:p>
    <w:p>
      <w:pPr>
        <w:pStyle w:val="Defaul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Default"/>
        <w:rPr>
          <w:u w:val="single"/>
          <w:lang w:val="en-US" w:eastAsia="zh-CN"/>
        </w:rPr>
      </w:pPr>
      <w:r>
        <w:rPr>
          <w:rFonts w:eastAsia="Arial;Nimbus Roman No9 L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Default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false"/>
        <w:bidi w:val="0"/>
        <w:snapToGrid w:val="true"/>
        <w:spacing w:lineRule="exact" w:line="420"/>
        <w:ind w:hanging="0" w:start="0"/>
        <w:textAlignment w:val="auto"/>
        <w:rPr>
          <w:u w:val="single"/>
          <w:lang w:val="en-US" w:eastAsia="zh-CN"/>
        </w:rPr>
      </w:pPr>
      <w:r>
        <w:rPr>
          <w:u w:val="singl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包装规格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第四条 种子的所有权属于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所有。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第五条 交（提）货方式和地点：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第六条 运输方式及到达站（港）和运输费用负担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第七条 检验标准、方法、地点及期限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第八条 检疫单位、方法、地点、标准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结算方式、时间及地点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担保方式（也可另立担保合同）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受托人处理委托事务的权限与具体要求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委托期限自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年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日至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年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月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日止。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受托人将处理委托事务所取得财产转交给委托人的时间、地点及方式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委托人支付受托人处理委托事务所付费用的时间、方式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本合同解除的条件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双方责任和义务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委托人责任：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委托销售的品种，如果属应当审定的品种，必须经审定通过。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委托单位或个人委托销售的品种，必须是自有品种、联合开发或授权品种，以及未经保护的品种。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委托单位或个人委托销售的种子，必须是经过包装的、质量合格的种子。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委托代销的年限不得超过所持《农作物种子经营许可证》的有效期限。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受托人责任：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受托人有将委托事务处理情况向委托人报告的义务。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受托人不得接受无种子经营许可证的单位或个人委托销售种子。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受托单位或个人不能委托其他单位或个人代销其种子。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受托单位或个人必须按照委托单位或个人要求的指定地点、作物、品种、注册商标、包装规格销售其种子。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受托单位或个人不得拆包销售其种子。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受托单位或个人经营种子发生的质量纠纷，由委托人单位或个人出面协调，受托单位或个人积极配合。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5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受托单位或个人可以接受多家委托。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违约责任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委托人违反第十六条对其约定的条件，发生纠纷和经济损失的，由委托人承担相应的法律责任和经济损失；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tabs>
          <w:tab w:val="clear" w:pos="7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受托人违反第十六条对其约定的条件，造成发生纠纷和经济损失的，由受托人承担相应的法律和经济损失；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合同争议的解决方式：本合同在履行过程中发生争议，由双方当事人协商解决，也可由当地种子行政管理部门调解；协商或调解不成的，按下列第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提交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仲裁委员会仲裁；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singl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其他约定事项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440" w:end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>第二十条 本合同未作规定的，按《中华人民共和国合同法》的规定执行。</w:t>
      </w:r>
    </w:p>
    <w:tbl>
      <w:tblPr>
        <w:tblpPr w:vertAnchor="text" w:horzAnchor="page" w:leftFromText="180" w:rightFromText="180" w:tblpX="903" w:tblpY="348"/>
        <w:tblOverlap w:val="never"/>
        <w:tblW w:w="103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89"/>
        <w:gridCol w:w="5131"/>
      </w:tblGrid>
      <w:tr>
        <w:trPr>
          <w:trHeight w:val="90" w:hRule="atLeast"/>
        </w:trPr>
        <w:tc>
          <w:tcPr>
            <w:tcW w:w="5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委托人：（章）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（签字）：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邮政编码：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r>
          </w:p>
        </w:tc>
        <w:tc>
          <w:tcPr>
            <w:tcW w:w="5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受托人：（章）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住 所：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法定代表人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（签字）：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电话：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开户银行：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 xml:space="preserve">帐 号：  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  <w:t>邮政编码：</w:t>
            </w:r>
            <w:r>
              <w:rPr>
                <w:rFonts w:ascii="方正书宋_GBK" w:hAnsi="方正书宋_GBK" w:cs="方正书宋_GBK" w:eastAsia="方正书宋_GBK"/>
                <w:color w:val="000000"/>
                <w:kern w:val="2"/>
                <w:position w:val="0"/>
                <w:sz w:val="22"/>
                <w:sz w:val="22"/>
                <w:szCs w:val="22"/>
                <w:u w:val="singl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hanging="0" w:start="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kern w:val="2"/>
                <w:position w:val="0"/>
                <w:sz w:val="22"/>
                <w:sz w:val="22"/>
                <w:szCs w:val="22"/>
                <w:u w:val="none"/>
                <w:vertAlign w:val="baseline"/>
                <w:lang w:val="en-US" w:eastAsia="zh-CN" w:bidi="ar-SA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jc w:val="start"/>
        <w:textAlignment w:val="auto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eastAsia="方正书宋_GBK" w:cs="方正书宋_GBK" w:ascii="方正书宋_GBK" w:hAnsi="方正书宋_GBK"/>
          <w:color w:val="000000"/>
          <w:kern w:val="2"/>
          <w:sz w:val="22"/>
          <w:szCs w:val="22"/>
          <w:u w:val="none"/>
          <w:lang w:val="en-US" w:eastAsia="zh-CN" w:bidi="ar-SA"/>
        </w:rPr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rFonts w:ascii="方正书宋_GBK" w:hAnsi="方正书宋_GBK" w:eastAsia="方正书宋_GBK" w:cs="方正书宋_GBK"/>
          <w:color w:val="000000"/>
          <w:kern w:val="2"/>
          <w:sz w:val="22"/>
          <w:szCs w:val="22"/>
          <w:u w:val="none"/>
          <w:lang w:val="en-US" w:eastAsia="zh-CN" w:bidi="ar-SA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none"/>
          <w:lang w:val="en-US" w:eastAsia="zh-CN" w:bidi="ar-SA"/>
        </w:rPr>
        <w:t xml:space="preserve">                                                                         </w:t>
      </w:r>
    </w:p>
    <w:sectPr>
      <w:type w:val="nextPage"/>
      <w:pgSz w:w="11906" w:h="16838"/>
      <w:pgMar w:left="900" w:right="900" w:gutter="0" w:header="0" w:top="140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altName w:val="方正书宋_GBK"/>
    <w:charset w:val="00" w:characterSet="windows-1252"/>
    <w:family w:val="auto"/>
    <w:pitch w:val="default"/>
  </w:font>
  <w:font w:name="Arial Unicode MS">
    <w:altName w:val="Nimbus Roman No9 L"/>
    <w:charset w:val="00" w:characterSet="windows-1252"/>
    <w:family w:val="swiss"/>
    <w:pitch w:val="default"/>
  </w:font>
  <w:font w:name="Arial">
    <w:altName w:val="Nimbus Roman No9 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楷体_GB2312">
    <w:altName w:val="楷体"/>
    <w:charset w:val="00" w:characterSet="windows-1252"/>
    <w:family w:val="auto"/>
    <w:pitch w:val="default"/>
  </w:font>
  <w:font w:name="方正书宋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chineseCountingThousand"/>
      <w:suff w:val="space"/>
      <w:lvlText w:val="第%1条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9"/>
      <w:numFmt w:val="chineseCountingThousand"/>
      <w:suff w:val="space"/>
      <w:lvlText w:val="第%1条"/>
      <w:lvlJc w:val="start"/>
      <w:pPr>
        <w:tabs>
          <w:tab w:val="num" w:pos="0"/>
        </w:tabs>
        <w:ind w:start="440" w:hanging="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0" w:hanging="0"/>
      </w:pPr>
    </w:lvl>
  </w:abstractNum>
  <w:abstractNum w:abstractNumId="6">
    <w:lvl w:ilvl="0">
      <w:start w:val="1"/>
      <w:numFmt w:val="chineseCountingThousand"/>
      <w:suff w:val="nothing"/>
      <w:lvlText w:val="（%1）"/>
      <w:lvlJc w:val="start"/>
      <w:pPr>
        <w:tabs>
          <w:tab w:val="num" w:pos="0"/>
        </w:tabs>
        <w:ind w:star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hi-IN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纯文本"/>
    <w:basedOn w:val="Normal"/>
    <w:qFormat/>
    <w:pPr/>
    <w:rPr>
      <w:rFonts w:ascii="宋体;方正书宋_GBK" w:hAnsi="宋体;方正书宋_GBK" w:eastAsia="宋体;方正书宋_GBK" w:cs="Courier New;DejaVu Sans"/>
      <w:sz w:val="21"/>
      <w:szCs w:val="21"/>
    </w:rPr>
  </w:style>
  <w:style w:type="paragraph" w:styleId="Style16">
    <w:name w:val="普通(网站)"/>
    <w:basedOn w:val="Normal"/>
    <w:qFormat/>
    <w:pPr>
      <w:widowControl/>
      <w:spacing w:lineRule="auto" w:line="360" w:before="100" w:after="100"/>
      <w:jc w:val="start"/>
    </w:pPr>
    <w:rPr>
      <w:rFonts w:ascii="Arial Unicode MS;Nimbus Roman No9 L" w:hAnsi="Arial Unicode MS;Nimbus Roman No9 L" w:eastAsia="Arial Unicode MS;Nimbus Roman No9 L" w:cs="Arial Unicode MS;Nimbus Roman No9 L"/>
      <w:color w:val="000000"/>
      <w:kern w:val="0"/>
      <w:sz w:val="18"/>
    </w:rPr>
  </w:style>
  <w:style w:type="paragraph" w:styleId="Default">
    <w:name w:val="Default"/>
    <w:qFormat/>
    <w:pPr>
      <w:widowControl w:val="false"/>
      <w:autoSpaceDE w:val="false"/>
      <w:bidi w:val="0"/>
    </w:pPr>
    <w:rPr>
      <w:rFonts w:ascii="Arial;Nimbus Roman No9 L" w:hAnsi="Arial;Nimbus Roman No9 L" w:eastAsia="宋体;方正书宋_GBK" w:cs="Arial;Nimbus Roman No9 L"/>
      <w:color w:val="000000"/>
      <w:sz w:val="24"/>
      <w:szCs w:val="24"/>
      <w:lang w:val="en-US" w:eastAsia="zh-CN" w:bidi="hi-IN"/>
    </w:rPr>
  </w:style>
  <w:style w:type="paragraph" w:styleId="CM10">
    <w:name w:val="CM10"/>
    <w:basedOn w:val="Default"/>
    <w:next w:val="Default"/>
    <w:qFormat/>
    <w:pPr/>
    <w:rPr>
      <w:sz w:val="24"/>
      <w:szCs w:val="24"/>
    </w:rPr>
  </w:style>
  <w:style w:type="paragraph" w:styleId="CM7">
    <w:name w:val="CM7"/>
    <w:basedOn w:val="Default"/>
    <w:next w:val="Default"/>
    <w:qFormat/>
    <w:pPr>
      <w:spacing w:lineRule="atLeast" w:line="646"/>
    </w:pPr>
    <w:rPr>
      <w:sz w:val="24"/>
      <w:szCs w:val="24"/>
    </w:rPr>
  </w:style>
  <w:style w:type="paragraph" w:styleId="CM27">
    <w:name w:val="CM27"/>
    <w:basedOn w:val="Default"/>
    <w:next w:val="Default"/>
    <w:qFormat/>
    <w:pPr/>
    <w:rPr>
      <w:sz w:val="24"/>
      <w:szCs w:val="24"/>
    </w:rPr>
  </w:style>
  <w:style w:type="paragraph" w:styleId="CM24">
    <w:name w:val="CM24"/>
    <w:basedOn w:val="Default"/>
    <w:next w:val="Default"/>
    <w:qFormat/>
    <w:pPr/>
    <w:rPr>
      <w:sz w:val="24"/>
      <w:szCs w:val="24"/>
    </w:rPr>
  </w:style>
  <w:style w:type="paragraph" w:styleId="CM23">
    <w:name w:val="CM23"/>
    <w:basedOn w:val="Default"/>
    <w:next w:val="Default"/>
    <w:qFormat/>
    <w:pPr/>
    <w:rPr>
      <w:sz w:val="24"/>
      <w:szCs w:val="24"/>
    </w:rPr>
  </w:style>
  <w:style w:type="paragraph" w:styleId="CM26">
    <w:name w:val="CM26"/>
    <w:basedOn w:val="Default"/>
    <w:next w:val="Default"/>
    <w:qFormat/>
    <w:pPr/>
    <w:rPr>
      <w:sz w:val="24"/>
      <w:szCs w:val="24"/>
    </w:rPr>
  </w:style>
  <w:style w:type="paragraph" w:styleId="CM28">
    <w:name w:val="CM28"/>
    <w:basedOn w:val="Default"/>
    <w:next w:val="Default"/>
    <w:qFormat/>
    <w:pPr/>
    <w:rPr>
      <w:sz w:val="24"/>
      <w:szCs w:val="24"/>
    </w:rPr>
  </w:style>
  <w:style w:type="paragraph" w:styleId="CM8">
    <w:name w:val="CM8"/>
    <w:basedOn w:val="Default"/>
    <w:next w:val="Default"/>
    <w:qFormat/>
    <w:pPr/>
    <w:rPr>
      <w:sz w:val="24"/>
      <w:szCs w:val="24"/>
    </w:rPr>
  </w:style>
  <w:style w:type="paragraph" w:styleId="CM30">
    <w:name w:val="CM30"/>
    <w:basedOn w:val="Default"/>
    <w:next w:val="Default"/>
    <w:qFormat/>
    <w:pPr/>
    <w:rPr>
      <w:sz w:val="24"/>
      <w:szCs w:val="24"/>
    </w:rPr>
  </w:style>
  <w:style w:type="paragraph" w:styleId="CM9">
    <w:name w:val="CM9"/>
    <w:basedOn w:val="Default"/>
    <w:next w:val="Default"/>
    <w:qFormat/>
    <w:pPr/>
    <w:rPr>
      <w:sz w:val="24"/>
      <w:szCs w:val="24"/>
    </w:rPr>
  </w:style>
  <w:style w:type="paragraph" w:styleId="CM18">
    <w:name w:val="CM18"/>
    <w:basedOn w:val="Default"/>
    <w:next w:val="Default"/>
    <w:qFormat/>
    <w:pPr/>
    <w:rPr>
      <w:sz w:val="24"/>
      <w:szCs w:val="24"/>
    </w:rPr>
  </w:style>
  <w:style w:type="paragraph" w:styleId="CM2">
    <w:name w:val="CM2"/>
    <w:basedOn w:val="Default"/>
    <w:next w:val="Default"/>
    <w:qFormat/>
    <w:pPr/>
    <w:rPr>
      <w:sz w:val="24"/>
      <w:szCs w:val="24"/>
    </w:rPr>
  </w:style>
  <w:style w:type="paragraph" w:styleId="CM21">
    <w:name w:val="CM21"/>
    <w:basedOn w:val="Default"/>
    <w:next w:val="Default"/>
    <w:qFormat/>
    <w:pPr/>
    <w:rPr>
      <w:sz w:val="24"/>
      <w:szCs w:val="24"/>
    </w:rPr>
  </w:style>
  <w:style w:type="paragraph" w:styleId="CM1">
    <w:name w:val="CM1"/>
    <w:basedOn w:val="Default"/>
    <w:next w:val="Default"/>
    <w:qFormat/>
    <w:pPr/>
    <w:rPr>
      <w:sz w:val="24"/>
      <w:szCs w:val="24"/>
    </w:rPr>
  </w:style>
  <w:style w:type="paragraph" w:styleId="CM12">
    <w:name w:val="CM12"/>
    <w:basedOn w:val="Default"/>
    <w:next w:val="Default"/>
    <w:qFormat/>
    <w:pPr/>
    <w:rPr>
      <w:sz w:val="24"/>
      <w:szCs w:val="24"/>
    </w:rPr>
  </w:style>
  <w:style w:type="paragraph" w:styleId="CM25">
    <w:name w:val="CM25"/>
    <w:basedOn w:val="Default"/>
    <w:next w:val="Default"/>
    <w:qFormat/>
    <w:pPr/>
    <w:rPr>
      <w:sz w:val="24"/>
      <w:szCs w:val="24"/>
    </w:rPr>
  </w:style>
  <w:style w:type="paragraph" w:styleId="CM6">
    <w:name w:val="CM6"/>
    <w:basedOn w:val="Default"/>
    <w:next w:val="Default"/>
    <w:qFormat/>
    <w:pPr/>
    <w:rPr>
      <w:sz w:val="24"/>
      <w:szCs w:val="24"/>
    </w:rPr>
  </w:style>
  <w:style w:type="paragraph" w:styleId="CM17">
    <w:name w:val="CM17"/>
    <w:basedOn w:val="Default"/>
    <w:next w:val="Default"/>
    <w:qFormat/>
    <w:pPr/>
    <w:rPr>
      <w:sz w:val="24"/>
      <w:szCs w:val="24"/>
    </w:rPr>
  </w:style>
  <w:style w:type="paragraph" w:styleId="CM13">
    <w:name w:val="CM13"/>
    <w:basedOn w:val="Default"/>
    <w:next w:val="Default"/>
    <w:qFormat/>
    <w:pPr>
      <w:spacing w:lineRule="atLeast" w:line="448"/>
    </w:pPr>
    <w:rPr>
      <w:sz w:val="24"/>
      <w:szCs w:val="24"/>
    </w:rPr>
  </w:style>
  <w:style w:type="paragraph" w:styleId="CM5">
    <w:name w:val="CM5"/>
    <w:basedOn w:val="Default"/>
    <w:next w:val="Default"/>
    <w:qFormat/>
    <w:pPr/>
    <w:rPr>
      <w:sz w:val="24"/>
      <w:szCs w:val="24"/>
    </w:rPr>
  </w:style>
  <w:style w:type="paragraph" w:styleId="CM22">
    <w:name w:val="CM22"/>
    <w:basedOn w:val="Default"/>
    <w:next w:val="Default"/>
    <w:qFormat/>
    <w:pPr/>
    <w:rPr>
      <w:sz w:val="24"/>
      <w:szCs w:val="24"/>
    </w:rPr>
  </w:style>
  <w:style w:type="paragraph" w:styleId="CM14">
    <w:name w:val="CM14"/>
    <w:basedOn w:val="Default"/>
    <w:next w:val="Default"/>
    <w:qFormat/>
    <w:pPr>
      <w:spacing w:lineRule="atLeast" w:line="451"/>
    </w:pPr>
    <w:rPr>
      <w:sz w:val="24"/>
      <w:szCs w:val="24"/>
    </w:rPr>
  </w:style>
  <w:style w:type="paragraph" w:styleId="CM15">
    <w:name w:val="CM15"/>
    <w:basedOn w:val="Default"/>
    <w:next w:val="Default"/>
    <w:qFormat/>
    <w:pPr/>
    <w:rPr>
      <w:sz w:val="24"/>
      <w:szCs w:val="24"/>
    </w:rPr>
  </w:style>
  <w:style w:type="paragraph" w:styleId="CM16">
    <w:name w:val="CM16"/>
    <w:basedOn w:val="Default"/>
    <w:next w:val="Default"/>
    <w:qFormat/>
    <w:pPr/>
    <w:rPr>
      <w:sz w:val="24"/>
      <w:szCs w:val="24"/>
    </w:rPr>
  </w:style>
  <w:style w:type="paragraph" w:styleId="CM4">
    <w:name w:val="CM4"/>
    <w:basedOn w:val="Default"/>
    <w:next w:val="Default"/>
    <w:qFormat/>
    <w:pPr>
      <w:spacing w:lineRule="atLeast" w:line="631"/>
    </w:pPr>
    <w:rPr>
      <w:sz w:val="24"/>
      <w:szCs w:val="24"/>
    </w:rPr>
  </w:style>
  <w:style w:type="paragraph" w:styleId="CM20">
    <w:name w:val="CM20"/>
    <w:basedOn w:val="Default"/>
    <w:next w:val="Default"/>
    <w:qFormat/>
    <w:pPr/>
    <w:rPr>
      <w:sz w:val="24"/>
      <w:szCs w:val="24"/>
    </w:rPr>
  </w:style>
  <w:style w:type="paragraph" w:styleId="CM11">
    <w:name w:val="CM11"/>
    <w:basedOn w:val="Default"/>
    <w:next w:val="Default"/>
    <w:qFormat/>
    <w:pPr/>
    <w:rPr>
      <w:sz w:val="24"/>
      <w:szCs w:val="24"/>
    </w:rPr>
  </w:style>
  <w:style w:type="paragraph" w:styleId="CM3">
    <w:name w:val="CM3"/>
    <w:basedOn w:val="Default"/>
    <w:next w:val="Default"/>
    <w:qFormat/>
    <w:pPr/>
    <w:rPr>
      <w:sz w:val="24"/>
      <w:szCs w:val="24"/>
    </w:rPr>
  </w:style>
  <w:style w:type="paragraph" w:styleId="CM29">
    <w:name w:val="CM29"/>
    <w:basedOn w:val="Default"/>
    <w:next w:val="Default"/>
    <w:qFormat/>
    <w:pPr/>
    <w:rPr>
      <w:sz w:val="24"/>
      <w:szCs w:val="24"/>
    </w:rPr>
  </w:style>
  <w:style w:type="paragraph" w:styleId="CM19">
    <w:name w:val="CM19"/>
    <w:basedOn w:val="Default"/>
    <w:next w:val="Default"/>
    <w:qFormat/>
    <w:pPr/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11520</TotalTime>
  <Application>LibreOffice/25.2.2.2$MacOSX_AARCH64 LibreOffice_project/7370d4be9e3cf6031a51beef54ff3bda878e3fac</Application>
  <AppVersion>15.0000</AppVersion>
  <Pages>4</Pages>
  <Words>1134</Words>
  <Characters>1154</Characters>
  <CharactersWithSpaces>3732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2022-01-19T22:44:34Z</dcterms:created>
  <dc:creator>jih</dc:creator>
  <dc:description/>
  <dc:language>zh-CN</dc:language>
  <cp:lastModifiedBy>jih</cp:lastModifiedBy>
  <dcterms:modified xsi:type="dcterms:W3CDTF">2022-01-19T19:04:55Z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