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M19"/>
        <w:spacing w:before="0" w:after="345"/>
        <w:ind w:start="32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t>LF</w:t>
      </w:r>
      <w:r>
        <w:rPr>
          <w:rFonts w:ascii="Times New Roman;Nimbus Roman No9 L" w:hAnsi="Times New Roman;Nimbus Roman No9 L" w:cs="Times New Roman;Nimbus Roman No9 L" w:eastAsia="仿宋_GB2312"/>
          <w:color w:val="000000"/>
          <w:kern w:val="0"/>
          <w:sz w:val="28"/>
          <w:szCs w:val="22"/>
          <w:lang w:val="en-US" w:eastAsia="zh-CN" w:bidi="ar-SA"/>
        </w:rPr>
        <w:t>一</w:t>
      </w:r>
      <w:r>
        <w:rPr>
          <w:rFonts w:eastAsia="仿宋_GB2312" w:cs="Times New Roman;Nimbus Roman No9 L" w:ascii="Times New Roman;Nimbus Roman No9 L" w:hAnsi="Times New Roman;Nimbus Roman No9 L"/>
          <w:color w:val="000000"/>
          <w:kern w:val="0"/>
          <w:sz w:val="28"/>
          <w:szCs w:val="22"/>
          <w:lang w:val="en-US" w:eastAsia="zh-CN" w:bidi="ar-SA"/>
        </w:rPr>
        <w:t>200</w:t>
      </w:r>
      <w:r>
        <w:rPr>
          <w:rFonts w:eastAsia="仿宋_GB2312" w:cs="Times New Roman;Nimbus Roman No9 L" w:ascii="Times New Roman;Nimbus Roman No9 L" w:hAnsi="Times New Roman;Nimbus Roman No9 L"/>
          <w:color w:val="000000"/>
          <w:kern w:val="0"/>
          <w:sz w:val="28"/>
          <w:szCs w:val="22"/>
          <w:lang w:val="en-US" w:eastAsia="zh-CN" w:bidi="ar-SA"/>
        </w:rPr>
        <w:t>6</w:t>
      </w:r>
      <w:r>
        <w:rPr>
          <w:rFonts w:ascii="Times New Roman;Nimbus Roman No9 L" w:hAnsi="Times New Roman;Nimbus Roman No9 L" w:cs="Times New Roman;Nimbus Roman No9 L" w:eastAsia="仿宋_GB2312"/>
          <w:color w:val="000000"/>
          <w:kern w:val="0"/>
          <w:sz w:val="28"/>
          <w:szCs w:val="22"/>
          <w:lang w:val="en-US" w:eastAsia="zh-CN" w:bidi="ar-SA"/>
        </w:rPr>
        <w:t>一</w:t>
      </w:r>
      <w:r>
        <w:rPr>
          <w:rFonts w:eastAsia="仿宋_GB2312" w:cs="Times New Roman;Nimbus Roman No9 L" w:ascii="Times New Roman;Nimbus Roman No9 L" w:hAnsi="Times New Roman;Nimbus Roman No9 L"/>
          <w:color w:val="000000"/>
          <w:kern w:val="0"/>
          <w:sz w:val="28"/>
          <w:szCs w:val="22"/>
          <w:lang w:val="en-US" w:eastAsia="zh-CN" w:bidi="ar-SA"/>
        </w:rPr>
        <w:t>010</w:t>
      </w:r>
      <w:r>
        <w:rPr>
          <w:rFonts w:eastAsia="仿宋_GB2312" w:cs="Times New Roman;Nimbus Roman No9 L" w:ascii="Times New Roman;Nimbus Roman No9 L" w:hAnsi="Times New Roman;Nimbus Roman No9 L"/>
          <w:color w:val="000000"/>
          <w:kern w:val="0"/>
          <w:sz w:val="28"/>
          <w:szCs w:val="22"/>
          <w:lang w:val="en-US" w:eastAsia="zh-CN" w:bidi="ar-SA"/>
        </w:rPr>
        <w:t>1</w:t>
      </w:r>
    </w:p>
    <w:p>
      <w:pPr>
        <w:pStyle w:val="CM20"/>
        <w:spacing w:before="0" w:after="1450"/>
        <w:ind w:start="5552" w:end="0"/>
        <w:jc w:val="both"/>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ascii="Times New Roman;Nimbus Roman No9 L" w:hAnsi="Times New Roman;Nimbus Roman No9 L"/>
          <w:color w:val="000000"/>
          <w:kern w:val="0"/>
          <w:sz w:val="28"/>
          <w:szCs w:val="22"/>
          <w:lang w:val="en-US" w:eastAsia="zh-CN" w:bidi="ar-SA"/>
        </w:rPr>
      </w:r>
    </w:p>
    <w:p>
      <w:pPr>
        <w:pStyle w:val="Normal"/>
        <w:jc w:val="start"/>
        <w:rPr>
          <w:rFonts w:ascii="Times New Roman;Nimbus Roman No9 L" w:hAnsi="Times New Roman;Nimbus Roman No9 L" w:eastAsia="仿宋_GB2312" w:cs="Times New Roman;Nimbus Roman No9 L"/>
          <w:color w:val="000000"/>
          <w:kern w:val="0"/>
          <w:sz w:val="24"/>
          <w:szCs w:val="24"/>
          <w:lang w:val="en-US" w:eastAsia="zh-CN" w:bidi="ar-SA"/>
        </w:rPr>
      </w:pPr>
      <w:r>
        <w:rPr>
          <w:rFonts w:eastAsia="仿宋_GB2312" w:cs="Times New Roman;Nimbus Roman No9 L"/>
          <w:color w:val="000000"/>
          <w:kern w:val="0"/>
          <w:sz w:val="24"/>
          <w:szCs w:val="24"/>
          <w:lang w:val="en-US" w:eastAsia="zh-CN" w:bidi="ar-SA"/>
        </w:rPr>
      </w:r>
    </w:p>
    <w:p>
      <w:pPr>
        <w:pStyle w:val="Normal"/>
        <w:jc w:val="start"/>
        <w:rPr>
          <w:sz w:val="24"/>
          <w:szCs w:val="24"/>
        </w:rPr>
      </w:pPr>
      <w:r>
        <w:rPr>
          <w:rFonts w:eastAsia="Times New Roman;Nimbus Roman No9 L"/>
          <w:sz w:val="24"/>
          <w:szCs w:val="24"/>
        </w:rPr>
        <w:t xml:space="preserve"> </w:t>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农产品订购合同</w:t>
      </w:r>
    </w:p>
    <w:p>
      <w:pPr>
        <w:pStyle w:val="Normal"/>
        <w:spacing w:before="0" w:after="2162"/>
        <w:jc w:val="center"/>
        <w:rPr>
          <w:rFonts w:ascii="方正楷体_GBK" w:hAnsi="方正楷体_GBK" w:eastAsia="方正楷体_GBK" w:cs="方正楷体_GBK"/>
          <w:sz w:val="28"/>
          <w:szCs w:val="28"/>
          <w:lang w:val="en-US" w:eastAsia="zh-CN" w:bidi="ar-SA"/>
        </w:rPr>
      </w:pPr>
      <w:r>
        <w:rPr>
          <w:rFonts w:ascii="方正楷体_GBK" w:hAnsi="方正楷体_GBK" w:cs="方正楷体_GBK" w:eastAsia="方正楷体_GBK"/>
          <w:sz w:val="28"/>
          <w:szCs w:val="28"/>
          <w:lang w:val="en-US" w:eastAsia="zh-CN" w:bidi="ar-SA"/>
        </w:rPr>
        <w:t>（示范文本）</w:t>
      </w:r>
    </w:p>
    <w:p>
      <w:pPr>
        <w:pStyle w:val="CM20"/>
        <w:keepNext w:val="false"/>
        <w:keepLines w:val="false"/>
        <w:pageBreakBefore w:val="false"/>
        <w:widowControl w:val="false"/>
        <w:kinsoku w:val="true"/>
        <w:overflowPunct w:val="true"/>
        <w:autoSpaceDE w:val="false"/>
        <w:bidi w:val="0"/>
        <w:snapToGrid w:val="true"/>
        <w:spacing w:lineRule="atLeast" w:line="631"/>
        <w:ind w:end="1372"/>
        <w:jc w:val="both"/>
        <w:textAlignment w:val="auto"/>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CM21"/>
        <w:spacing w:before="0" w:after="200"/>
        <w:ind w:start="885" w:end="0"/>
        <w:jc w:val="both"/>
        <w:rPr>
          <w:rFonts w:ascii="宋体;方正书宋_GBK" w:hAnsi="宋体;方正书宋_GBK" w:eastAsia="方正楷体_GBK" w:cs="方正楷体_GBK"/>
          <w:kern w:val="2"/>
          <w:sz w:val="40"/>
          <w:szCs w:val="24"/>
          <w:lang w:val="en-US" w:eastAsia="zh-CN" w:bidi="ar-SA"/>
        </w:rPr>
      </w:pPr>
      <w:r>
        <w:rPr>
          <w:rFonts w:eastAsia="方正楷体_GBK" w:cs="方正楷体_GBK" w:ascii="宋体;方正书宋_GBK" w:hAnsi="宋体;方正书宋_GBK"/>
          <w:kern w:val="2"/>
          <w:sz w:val="40"/>
          <w:szCs w:val="24"/>
          <w:lang w:val="en-US" w:eastAsia="zh-CN" w:bidi="ar-SA"/>
        </w:rPr>
      </w:r>
    </w:p>
    <w:p>
      <w:pPr>
        <w:pStyle w:val="CM21"/>
        <w:spacing w:before="0" w:after="200"/>
        <w:ind w:start="885" w:end="0"/>
        <w:jc w:val="both"/>
        <w:rPr>
          <w:rFonts w:ascii="宋体;方正书宋_GBK" w:hAnsi="宋体;方正书宋_GBK"/>
          <w:sz w:val="40"/>
          <w:szCs w:val="24"/>
        </w:rPr>
      </w:pPr>
      <w:r>
        <w:rPr>
          <w:rFonts w:ascii="宋体;方正书宋_GBK" w:hAnsi="宋体;方正书宋_GBK"/>
          <w:sz w:val="40"/>
          <w:szCs w:val="24"/>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楷体_GB2312;楷体" w:eastAsia="楷体_GB2312;楷体"/>
          <w:color w:val="000000"/>
          <w:spacing w:val="18"/>
          <w:sz w:val="32"/>
          <w:szCs w:val="32"/>
          <w:lang w:val="en-US" w:eastAsia="zh-CN" w:bidi="ar-SA"/>
        </w:rPr>
        <w:t xml:space="preserve">                       </w:t>
      </w:r>
    </w:p>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辽宁省工商行政管理局制定</w:t>
      </w:r>
    </w:p>
    <w:p>
      <w:pPr>
        <w:pStyle w:val="Style15"/>
        <w:numPr>
          <w:ilvl w:val="0"/>
          <w:numId w:val="0"/>
        </w:numPr>
        <w:snapToGrid w:val="false"/>
        <w:spacing w:lineRule="exact" w:line="482"/>
        <w:ind w:end="105"/>
        <w:jc w:val="center"/>
        <w:outlineLvl w:val="1"/>
        <w:rPr>
          <w:rFonts w:ascii="楷体_GB2312;楷体" w:hAnsi="楷体_GB2312;楷体" w:eastAsia="楷体_GB2312;楷体" w:cs="宋体;方正书宋_GBK"/>
          <w:color w:val="000000"/>
          <w:sz w:val="32"/>
          <w:szCs w:val="32"/>
          <w:lang w:eastAsia="zh-CN"/>
        </w:rPr>
      </w:pPr>
      <w:r>
        <w:rPr>
          <w:rFonts w:eastAsia="楷体_GB2312;楷体" w:cs="宋体;方正书宋_GBK" w:ascii="楷体_GB2312;楷体" w:hAnsi="楷体_GB2312;楷体"/>
          <w:color w:val="000000"/>
          <w:sz w:val="32"/>
          <w:szCs w:val="32"/>
          <w:lang w:val="en-US" w:eastAsia="zh-CN"/>
        </w:rPr>
        <w:t>2006</w:t>
      </w:r>
      <w:r>
        <w:rPr>
          <w:rFonts w:ascii="楷体_GB2312;楷体" w:hAnsi="楷体_GB2312;楷体" w:cs="宋体;方正书宋_GBK" w:eastAsia="楷体_GB2312;楷体"/>
          <w:color w:val="000000"/>
          <w:sz w:val="32"/>
          <w:szCs w:val="32"/>
          <w:lang w:eastAsia="zh-CN"/>
        </w:rPr>
        <w:t>年</w:t>
      </w:r>
      <w:r>
        <w:rPr>
          <w:rFonts w:eastAsia="楷体_GB2312;楷体" w:cs="宋体;方正书宋_GBK" w:ascii="楷体_GB2312;楷体" w:hAnsi="楷体_GB2312;楷体"/>
          <w:color w:val="000000"/>
          <w:sz w:val="32"/>
          <w:szCs w:val="32"/>
          <w:lang w:val="en-US" w:eastAsia="zh-CN"/>
        </w:rPr>
        <w:t>5</w:t>
      </w:r>
      <w:r>
        <w:rPr>
          <w:rFonts w:ascii="楷体_GB2312;楷体" w:hAnsi="楷体_GB2312;楷体" w:cs="宋体;方正书宋_GBK" w:eastAsia="楷体_GB2312;楷体"/>
          <w:color w:val="000000"/>
          <w:sz w:val="32"/>
          <w:szCs w:val="32"/>
        </w:rPr>
        <w:t>月</w:t>
      </w:r>
      <w:r>
        <w:rPr>
          <w:rFonts w:ascii="楷体_GB2312;楷体" w:hAnsi="楷体_GB2312;楷体" w:cs="宋体;方正书宋_GBK" w:eastAsia="楷体_GB2312;楷体"/>
          <w:color w:val="000000"/>
          <w:sz w:val="32"/>
          <w:szCs w:val="32"/>
          <w:lang w:eastAsia="zh-CN"/>
        </w:rPr>
        <w:t>发布</w:t>
      </w:r>
    </w:p>
    <w:p>
      <w:pPr>
        <w:pStyle w:val="CM19"/>
        <w:spacing w:lineRule="atLeast" w:line="623" w:before="0" w:after="345"/>
        <w:ind w:firstLine="475" w:start="1607" w:end="1232"/>
        <w:jc w:val="both"/>
        <w:rPr>
          <w:rFonts w:ascii="宋体;方正书宋_GBK" w:hAnsi="宋体;方正书宋_GBK" w:eastAsia="楷体_GB2312;楷体" w:cs="宋体;方正书宋_GBK"/>
          <w:color w:val="4E5045"/>
          <w:sz w:val="21"/>
          <w:szCs w:val="24"/>
          <w:lang w:eastAsia="zh-CN"/>
        </w:rPr>
      </w:pPr>
      <w:r>
        <w:rPr>
          <w:rFonts w:eastAsia="楷体_GB2312;楷体" w:cs="宋体;方正书宋_GBK" w:ascii="宋体;方正书宋_GBK" w:hAnsi="宋体;方正书宋_GBK"/>
          <w:color w:val="4E5045"/>
          <w:sz w:val="21"/>
          <w:szCs w:val="24"/>
          <w:lang w:eastAsia="zh-CN"/>
        </w:rPr>
      </w:r>
    </w:p>
    <w:p>
      <w:pPr>
        <w:pStyle w:val="CM19"/>
        <w:keepNext w:val="false"/>
        <w:keepLines w:val="false"/>
        <w:pageBreakBefore w:val="false"/>
        <w:widowControl w:val="false"/>
        <w:kinsoku w:val="true"/>
        <w:overflowPunct w:val="true"/>
        <w:autoSpaceDE w:val="false"/>
        <w:bidi w:val="0"/>
        <w:snapToGrid w:val="true"/>
        <w:spacing w:lineRule="exact" w:line="420"/>
        <w:ind w:end="123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农产品订购合同</w:t>
      </w:r>
    </w:p>
    <w:p>
      <w:pPr>
        <w:pStyle w:val="CM19"/>
        <w:keepNext w:val="false"/>
        <w:keepLines w:val="false"/>
        <w:pageBreakBefore w:val="false"/>
        <w:widowControl w:val="false"/>
        <w:kinsoku w:val="true"/>
        <w:overflowPunct w:val="true"/>
        <w:autoSpaceDE w:val="false"/>
        <w:bidi w:val="0"/>
        <w:snapToGrid w:val="true"/>
        <w:spacing w:lineRule="exact" w:line="420"/>
        <w:ind w:firstLine="550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合同编号：</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none"/>
          <w:lang w:val="en-US" w:eastAsia="zh-CN" w:bidi="ar-SA"/>
        </w:rPr>
        <w:t>认购人（甲方）：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签订地点：</w:t>
      </w:r>
      <w:r>
        <w:rPr>
          <w:rFonts w:ascii="方正书宋_GBK" w:hAnsi="方正书宋_GBK" w:cs="方正书宋_GBK" w:eastAsia="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出卖人（乙方）：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签订时间：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根据《中华人民共和国合同法》及其他有关法律、法规规定，经甲、乙双方协商一致，订立本合同。</w:t>
      </w:r>
    </w:p>
    <w:p>
      <w:pPr>
        <w:pStyle w:val="Default"/>
        <w:keepNext w:val="false"/>
        <w:keepLines w:val="false"/>
        <w:pageBreakBefore w:val="false"/>
        <w:widowControl w:val="false"/>
        <w:kinsoku w:val="true"/>
        <w:overflowPunct w:val="true"/>
        <w:autoSpaceDE w:val="false"/>
        <w:bidi w:val="0"/>
        <w:snapToGrid w:val="true"/>
        <w:spacing w:lineRule="exact" w:line="420"/>
        <w:textAlignment w:val="auto"/>
        <w:rPr>
          <w:lang w:val="en-US" w:eastAsia="zh-CN"/>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第一条 品种、等级、质量及包装</w:t>
      </w:r>
    </w:p>
    <w:tbl>
      <w:tblPr>
        <w:tblpPr w:vertAnchor="text" w:horzAnchor="page" w:leftFromText="180" w:rightFromText="180" w:tblpX="1096" w:tblpY="389"/>
        <w:tblOverlap w:val="never"/>
        <w:tblW w:w="9973" w:type="dxa"/>
        <w:jc w:val="start"/>
        <w:tblInd w:w="108" w:type="dxa"/>
        <w:tblLayout w:type="fixed"/>
        <w:tblCellMar>
          <w:top w:w="0" w:type="dxa"/>
          <w:start w:w="108" w:type="dxa"/>
          <w:bottom w:w="0" w:type="dxa"/>
          <w:end w:w="108" w:type="dxa"/>
        </w:tblCellMar>
      </w:tblPr>
      <w:tblGrid>
        <w:gridCol w:w="2050"/>
        <w:gridCol w:w="1987"/>
        <w:gridCol w:w="1950"/>
        <w:gridCol w:w="3986"/>
      </w:tblGrid>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66"/>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名称</w:t>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9"/>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品种</w:t>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66"/>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等级</w:t>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质量要求</w:t>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r>
        <w:trPr/>
        <w:tc>
          <w:tcPr>
            <w:tcW w:w="20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8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195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398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1230"/>
              <w:jc w:val="center"/>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
        <w:rPr>
          <w:rFonts w:ascii="方正书宋_GBK" w:hAnsi="方正书宋_GBK" w:cs="方正书宋_GBK" w:eastAsia="方正书宋_GBK"/>
          <w:color w:val="000000"/>
          <w:kern w:val="2"/>
          <w:sz w:val="22"/>
          <w:szCs w:val="22"/>
          <w:u w:val="none"/>
          <w:lang w:val="en-US" w:eastAsia="zh-CN" w:bidi="ar-SA"/>
        </w:rPr>
        <w:t>产品的品种、等级、质量按照双方协商确定，或按照样品标准确定（样品由双方妥善保管，甲方验收）</w:t>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产品包装由双方协商包装办法。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1230"/>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标的交售日期、数量及价格</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lang w:val="en-US" w:eastAsia="zh-CN"/>
        </w:rPr>
        <w:t>1.</w:t>
      </w:r>
      <w:r>
        <w:rPr>
          <w:lang w:val="en-US" w:eastAsia="zh-CN"/>
        </w:rPr>
        <w:t>乙方在</w:t>
      </w:r>
      <w:r>
        <w:rPr>
          <w:rFonts w:eastAsia="Arial;Nimbus Roman No9 L"/>
          <w:u w:val="single"/>
          <w:lang w:val="en-US" w:eastAsia="zh-CN"/>
        </w:rPr>
        <w:t xml:space="preserve">     </w:t>
      </w:r>
      <w:r>
        <w:rPr>
          <w:u w:val="none"/>
          <w:lang w:val="en-US" w:eastAsia="zh-CN"/>
        </w:rPr>
        <w:t>年</w:t>
      </w:r>
      <w:r>
        <w:rPr>
          <w:rFonts w:eastAsia="Arial;Nimbus Roman No9 L"/>
          <w:u w:val="single"/>
          <w:lang w:val="en-US" w:eastAsia="zh-CN"/>
        </w:rPr>
        <w:t xml:space="preserve">    </w:t>
      </w:r>
      <w:r>
        <w:rPr>
          <w:u w:val="none"/>
          <w:lang w:val="en-US" w:eastAsia="zh-CN"/>
        </w:rPr>
        <w:t>月以前，向甲方交售</w:t>
      </w:r>
      <w:r>
        <w:rPr>
          <w:rFonts w:eastAsia="Arial;Nimbus Roman No9 L"/>
          <w:u w:val="single"/>
          <w:lang w:val="en-US" w:eastAsia="zh-CN"/>
        </w:rPr>
        <w:t xml:space="preserve">         </w:t>
      </w:r>
      <w:r>
        <w:rPr>
          <w:u w:val="none"/>
          <w:lang w:val="en-US" w:eastAsia="zh-CN"/>
        </w:rPr>
        <w:t>公斤。</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u w:val="none"/>
          <w:lang w:val="en-US" w:eastAsia="zh-CN"/>
        </w:rPr>
      </w:pPr>
      <w:r>
        <w:rPr>
          <w:lang w:val="en-US" w:eastAsia="zh-CN"/>
        </w:rPr>
        <w:t>2.</w:t>
      </w:r>
      <w:r>
        <w:rPr>
          <w:lang w:val="en-US" w:eastAsia="zh-CN"/>
        </w:rPr>
        <w:t>产品最低价格（保护价）</w:t>
      </w:r>
      <w:r>
        <w:rPr>
          <w:rFonts w:eastAsia="Arial;Nimbus Roman No9 L"/>
          <w:u w:val="single"/>
          <w:lang w:val="en-US" w:eastAsia="zh-CN"/>
        </w:rPr>
        <w:t xml:space="preserve">        </w:t>
      </w:r>
      <w:r>
        <w:rPr>
          <w:u w:val="none"/>
          <w:lang w:val="en-US" w:eastAsia="zh-CN"/>
        </w:rPr>
        <w:t>元</w:t>
      </w:r>
      <w:r>
        <w:rPr>
          <w:u w:val="none"/>
          <w:lang w:val="en-US" w:eastAsia="zh-CN"/>
        </w:rPr>
        <w:t>/</w:t>
      </w:r>
      <w:r>
        <w:rPr>
          <w:u w:val="none"/>
          <w:lang w:val="en-US" w:eastAsia="zh-CN"/>
        </w:rPr>
        <w:t>公斤，市场行情上涨时，由甲方按照市场价格进行收购。</w:t>
      </w:r>
    </w:p>
    <w:p>
      <w:pPr>
        <w:pStyle w:val="Default"/>
        <w:keepNext w:val="false"/>
        <w:keepLines w:val="false"/>
        <w:pageBreakBefore w:val="false"/>
        <w:widowControl w:val="false"/>
        <w:numPr>
          <w:ilvl w:val="0"/>
          <w:numId w:val="0"/>
        </w:numPr>
        <w:kinsoku w:val="true"/>
        <w:overflowPunct w:val="true"/>
        <w:autoSpaceDE w:val="false"/>
        <w:bidi w:val="0"/>
        <w:snapToGrid w:val="true"/>
        <w:spacing w:lineRule="exact" w:line="420"/>
        <w:ind w:firstLine="480" w:start="0" w:end="0"/>
        <w:textAlignment w:val="auto"/>
        <w:rPr>
          <w:lang w:val="en-US" w:eastAsia="zh-CN"/>
        </w:rPr>
      </w:pPr>
      <w:r>
        <w:rPr>
          <w:u w:val="none"/>
          <w:lang w:val="en-US" w:eastAsia="zh-CN"/>
        </w:rPr>
        <w:t>3.</w:t>
      </w:r>
      <w:r>
        <w:rPr>
          <w:u w:val="none"/>
          <w:lang w:val="en-US" w:eastAsia="zh-CN"/>
        </w:rPr>
        <w:t>甲、乙双方的任何一方如需提前或延期交货与提货，均应事先通知对方，双方另行达成新的协议；如未能达成新的协议，双方应按本合同继续履行。</w:t>
      </w:r>
      <w:r>
        <w:rPr>
          <w:rFonts w:eastAsia="Arial;Nimbus Roman No9 L"/>
          <w:lang w:val="en-US" w:eastAsia="zh-CN"/>
        </w:rPr>
        <w:t xml:space="preserve"> </w:t>
      </w:r>
    </w:p>
    <w:p>
      <w:pPr>
        <w:pStyle w:val="Normal"/>
        <w:keepNext w:val="false"/>
        <w:keepLines w:val="false"/>
        <w:pageBreakBefore w:val="false"/>
        <w:widowControl/>
        <w:numPr>
          <w:ilvl w:val="0"/>
          <w:numId w:val="1"/>
        </w:numPr>
        <w:kinsoku w:val="true"/>
        <w:overflowPunct w:val="true"/>
        <w:autoSpaceDE w:val="true"/>
        <w:bidi w:val="0"/>
        <w:snapToGrid w:val="true"/>
        <w:spacing w:lineRule="exact" w:line="42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交货方式、验收、结算方式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产品由乙方送货到</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收购点或甲方上门收购，双方当面验收。</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货款由甲方支付给乙方，现金当场结算，钱货两清。甲方不得欠款或代扣各种税费。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不可抗力</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乙双方的任何一方由于不可抗力的原因不能履行或不能完全履行合同时，应尽快向对方通报理由，在提供相应证明后，可根据情况部分或全部免予承担违约责任，乙方如果由于不可抗力造成产品质量不符合约定的，不承担违约责任。</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产品因气候影响早熟或晚熟的，交货日期经双方协商，可适当提前或推迟。</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违约责任</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甲方在合同履行中退货的，应偿付乙方退货部分货款总值</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5%--25%</w:t>
      </w:r>
      <w:r>
        <w:rPr>
          <w:rFonts w:ascii="方正书宋_GBK" w:hAnsi="方正书宋_GBK" w:cs="方正书宋_GBK" w:eastAsia="方正书宋_GBK"/>
          <w:color w:val="000000"/>
          <w:kern w:val="2"/>
          <w:sz w:val="22"/>
          <w:szCs w:val="22"/>
          <w:u w:val="none"/>
          <w:lang w:val="en-US" w:eastAsia="zh-CN" w:bidi="ar-SA"/>
        </w:rPr>
        <w:t>）的违约金。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甲方无故拒收产品，应向乙方偿付拒收货物总值</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5%-25%</w:t>
      </w:r>
      <w:r>
        <w:rPr>
          <w:rFonts w:ascii="方正书宋_GBK" w:hAnsi="方正书宋_GBK" w:cs="方正书宋_GBK" w:eastAsia="方正书宋_GBK"/>
          <w:color w:val="000000"/>
          <w:kern w:val="2"/>
          <w:sz w:val="22"/>
          <w:szCs w:val="22"/>
          <w:u w:val="none"/>
          <w:lang w:val="en-US" w:eastAsia="zh-CN" w:bidi="ar-SA"/>
        </w:rPr>
        <w:t>）支付违约金。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甲方未按合同约定收购产品的，应按少收部分的总值</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5%-25%</w:t>
      </w:r>
      <w:r>
        <w:rPr>
          <w:rFonts w:ascii="方正书宋_GBK" w:hAnsi="方正书宋_GBK" w:cs="方正书宋_GBK" w:eastAsia="方正书宋_GBK"/>
          <w:color w:val="000000"/>
          <w:kern w:val="2"/>
          <w:sz w:val="22"/>
          <w:szCs w:val="22"/>
          <w:u w:val="none"/>
          <w:lang w:val="en-US" w:eastAsia="zh-CN" w:bidi="ar-SA"/>
        </w:rPr>
        <w:t>）支付违约金。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乙方交货数量少于合同规定的，按少交数量价值</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1%-20%</w:t>
      </w:r>
      <w:r>
        <w:rPr>
          <w:rFonts w:ascii="方正书宋_GBK" w:hAnsi="方正书宋_GBK" w:cs="方正书宋_GBK" w:eastAsia="方正书宋_GBK"/>
          <w:color w:val="000000"/>
          <w:kern w:val="2"/>
          <w:sz w:val="22"/>
          <w:szCs w:val="22"/>
          <w:u w:val="none"/>
          <w:lang w:val="en-US" w:eastAsia="zh-CN" w:bidi="ar-SA"/>
        </w:rPr>
        <w:t>）支付违约金。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乙方在交售产品掺杂作假，以次充好的，甲方有权拒收，乙方应向甲方支付</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r>
        <w:rPr>
          <w:rFonts w:eastAsia="方正书宋_GBK" w:cs="方正书宋_GBK" w:ascii="方正书宋_GBK" w:hAnsi="方正书宋_GBK"/>
          <w:color w:val="000000"/>
          <w:kern w:val="2"/>
          <w:sz w:val="22"/>
          <w:szCs w:val="22"/>
          <w:u w:val="none"/>
          <w:lang w:val="en-US" w:eastAsia="zh-CN" w:bidi="ar-SA"/>
        </w:rPr>
        <w:t>5%-25%</w:t>
      </w:r>
      <w:r>
        <w:rPr>
          <w:rFonts w:ascii="方正书宋_GBK" w:hAnsi="方正书宋_GBK" w:cs="方正书宋_GBK" w:eastAsia="方正书宋_GBK"/>
          <w:color w:val="000000"/>
          <w:kern w:val="2"/>
          <w:sz w:val="22"/>
          <w:szCs w:val="22"/>
          <w:u w:val="none"/>
          <w:lang w:val="en-US" w:eastAsia="zh-CN" w:bidi="ar-SA"/>
        </w:rPr>
        <w:t>）违约金。</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乙方的包装不符合双方约定的，甲方有权要求乙方重新包装，损失由乙方承担。</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合同的变更与解除</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甲、乙双方中任何一方要求变更或解除合同时，应及时书面通知对方，双方未达成协议前，本合同继续有效。双方达成变更或解除合同的，应签署书面协议。</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合同争议的解决方式</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合同在履行过程中发生的争议，由双方当事人协商解决，协商不成的，按下列第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种方式解决：</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仲裁委员会仲裁；</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依法向人民法院起诉。</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第八条 本合同</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生效。</w:t>
      </w:r>
    </w:p>
    <w:p>
      <w:pPr>
        <w:pStyle w:val="Normal"/>
        <w:keepNext w:val="false"/>
        <w:keepLines w:val="false"/>
        <w:pageBreakBefore w:val="false"/>
        <w:widowControl/>
        <w:numPr>
          <w:ilvl w:val="0"/>
          <w:numId w:val="2"/>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其它约定事项：</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single"/>
          <w:lang w:val="en-US" w:eastAsia="zh-CN" w:bidi="ar-SA"/>
        </w:rPr>
      </w:pPr>
      <w:r>
        <w:rPr>
          <w:rFonts w:ascii="方正书宋_GBK" w:hAnsi="方正书宋_GBK" w:cs="方正书宋_GBK" w:eastAsia="方正书宋_GBK"/>
          <w:color w:val="000000"/>
          <w:kern w:val="2"/>
          <w:sz w:val="22"/>
          <w:szCs w:val="22"/>
          <w:u w:val="single"/>
          <w:lang w:val="en-US" w:eastAsia="zh-CN" w:bidi="ar-SA"/>
        </w:rPr>
        <w:t xml:space="preserve">                                                                                            </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44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本合同一式三份，双方各执一份</w:t>
      </w:r>
    </w:p>
    <w:tbl>
      <w:tblPr>
        <w:tblW w:w="9875" w:type="dxa"/>
        <w:jc w:val="start"/>
        <w:tblInd w:w="0" w:type="dxa"/>
        <w:tblLayout w:type="fixed"/>
        <w:tblCellMar>
          <w:top w:w="0" w:type="dxa"/>
          <w:start w:w="108" w:type="dxa"/>
          <w:bottom w:w="0" w:type="dxa"/>
          <w:end w:w="108" w:type="dxa"/>
        </w:tblCellMar>
      </w:tblPr>
      <w:tblGrid>
        <w:gridCol w:w="5100"/>
        <w:gridCol w:w="4775"/>
      </w:tblGrid>
      <w:tr>
        <w:trPr/>
        <w:tc>
          <w:tcPr>
            <w:tcW w:w="5100"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订购人（甲方）签章：</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负责人：</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居民身份证号码：</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住所：</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联系电话：</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tc>
        <w:tc>
          <w:tcPr>
            <w:tcW w:w="4775" w:type="dxa"/>
            <w:tcBorders>
              <w:top w:val="single" w:sz="4" w:space="0" w:color="000000"/>
              <w:start w:val="single" w:sz="4" w:space="0" w:color="000000"/>
              <w:bottom w:val="single" w:sz="4" w:space="0" w:color="000000"/>
              <w:end w:val="single" w:sz="4" w:space="0" w:color="000000"/>
            </w:tcBorders>
          </w:tcPr>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出卖人（乙方）：</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居民身份证号码：</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住所：</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联系电话：</w:t>
            </w:r>
          </w:p>
          <w:p>
            <w:pPr>
              <w:pStyle w:val="Normal"/>
              <w:keepNext w:val="false"/>
              <w:keepLines w:val="false"/>
              <w:widowControl/>
              <w:numPr>
                <w:ilvl w:val="0"/>
                <w:numId w:val="0"/>
              </w:numPr>
              <w:kinsoku w:val="true"/>
              <w:overflowPunct w:val="true"/>
              <w:autoSpaceDE w:val="true"/>
              <w:bidi w:val="0"/>
              <w:snapToGrid w:val="false"/>
              <w:spacing w:lineRule="exact" w:line="420"/>
              <w:ind w:hanging="0" w:start="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eastAsia="方正书宋_GBK" w:cs="方正书宋_GBK" w:ascii="方正书宋_GBK" w:hAnsi="方正书宋_GBK"/>
                <w:color w:val="000000"/>
                <w:kern w:val="2"/>
                <w:position w:val="0"/>
                <w:sz w:val="22"/>
                <w:sz w:val="22"/>
                <w:szCs w:val="22"/>
                <w:u w:val="none"/>
                <w:vertAlign w:val="baseline"/>
                <w:lang w:val="en-US" w:eastAsia="zh-CN" w:bidi="ar-SA"/>
              </w:rPr>
            </w:r>
          </w:p>
          <w:p>
            <w:pPr>
              <w:pStyle w:val="Normal"/>
              <w:keepNext w:val="false"/>
              <w:keepLines w:val="false"/>
              <w:widowControl/>
              <w:numPr>
                <w:ilvl w:val="0"/>
                <w:numId w:val="0"/>
              </w:numPr>
              <w:kinsoku w:val="true"/>
              <w:overflowPunct w:val="true"/>
              <w:autoSpaceDE w:val="true"/>
              <w:bidi w:val="0"/>
              <w:snapToGrid w:val="false"/>
              <w:spacing w:lineRule="exact" w:line="420"/>
              <w:ind w:firstLine="2640" w:start="0" w:end="0"/>
              <w:jc w:val="start"/>
              <w:textAlignment w:val="auto"/>
              <w:rPr>
                <w:rFonts w:ascii="方正书宋_GBK" w:hAnsi="方正书宋_GBK" w:eastAsia="方正书宋_GBK" w:cs="方正书宋_GBK"/>
                <w:color w:val="000000"/>
                <w:kern w:val="2"/>
                <w:position w:val="0"/>
                <w:sz w:val="22"/>
                <w:sz w:val="22"/>
                <w:szCs w:val="22"/>
                <w:u w:val="none"/>
                <w:vertAlign w:val="baseline"/>
                <w:lang w:val="en-US" w:eastAsia="zh-CN" w:bidi="ar-SA"/>
              </w:rPr>
            </w:pPr>
            <w:r>
              <w:rPr>
                <w:rFonts w:ascii="方正书宋_GBK" w:hAnsi="方正书宋_GBK" w:cs="方正书宋_GBK" w:eastAsia="方正书宋_GBK"/>
                <w:color w:val="000000"/>
                <w:kern w:val="2"/>
                <w:position w:val="0"/>
                <w:sz w:val="22"/>
                <w:sz w:val="22"/>
                <w:szCs w:val="22"/>
                <w:u w:val="none"/>
                <w:vertAlign w:val="baseline"/>
                <w:lang w:val="en-US" w:eastAsia="zh-CN" w:bidi="ar-SA"/>
              </w:rPr>
              <w:t>年   月   日</w:t>
            </w:r>
          </w:p>
        </w:tc>
      </w:tr>
    </w:tbl>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hanging="0" w:start="0"/>
        <w:jc w:val="start"/>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numPr>
          <w:ilvl w:val="0"/>
          <w:numId w:val="0"/>
        </w:numPr>
        <w:ind w:hanging="0" w:start="0"/>
        <w:jc w:val="start"/>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p>
    <w:sectPr>
      <w:type w:val="nextPage"/>
      <w:pgSz w:w="11906" w:h="16838"/>
      <w:pgMar w:left="900" w:right="900" w:gutter="0" w:header="0" w:top="1400"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Arial Unicode MS">
    <w:altName w:val="Nimbus Roman No9 L"/>
    <w:charset w:val="00" w:characterSet="windows-1252"/>
    <w:family w:val="swiss"/>
    <w:pitch w:val="default"/>
  </w:font>
  <w:font w:name="Arial">
    <w:altName w:val="Nimbus Roman No9 L"/>
    <w:charset w:val="00" w:characterSet="windows-1252"/>
    <w:family w:val="swiss"/>
    <w:pitch w:val="default"/>
  </w:font>
  <w:font w:name="方正小标宋_GBK">
    <w:charset w:val="86"/>
    <w:family w:val="auto"/>
    <w:pitch w:val="default"/>
  </w:font>
  <w:font w:name="方正楷体_GBK">
    <w:charset w:val="86"/>
    <w:family w:val="auto"/>
    <w:pitch w:val="default"/>
  </w:font>
  <w:font w:name="宋体">
    <w:altName w:val="方正书宋_GBK"/>
    <w:charset w:val="86"/>
    <w:family w:val="auto"/>
    <w:pitch w:val="default"/>
  </w:font>
  <w:font w:name="楷体_GB2312">
    <w:altName w:val="楷体"/>
    <w:charset w:val="00" w:characterSet="windows-1252"/>
    <w:family w:val="auto"/>
    <w:pitch w:val="default"/>
  </w:font>
  <w:font w:name="方正书宋_GBK">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suff w:val="space"/>
      <w:lvlText w:val="第%1条"/>
      <w:lvlJc w:val="start"/>
      <w:pPr>
        <w:tabs>
          <w:tab w:val="num" w:pos="0"/>
        </w:tabs>
        <w:ind w:start="0" w:hanging="0"/>
      </w:pPr>
      <w:rPr/>
    </w:lvl>
  </w:abstractNum>
  <w:abstractNum w:abstractNumId="2">
    <w:lvl w:ilvl="0">
      <w:start w:val="9"/>
      <w:numFmt w:val="chineseCountingThousand"/>
      <w:suff w:val="space"/>
      <w:lvlText w:val="第%1条"/>
      <w:lvlJc w:val="start"/>
      <w:pPr>
        <w:tabs>
          <w:tab w:val="num" w:pos="0"/>
        </w:tabs>
        <w:ind w:start="44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Times New Roman;Nimbus Roman No9 L" w:hAnsi="Times New Roman;Nimbus Roman No9 L" w:eastAsia="宋体;方正书宋_GBK" w:cs="Times New Roman;Nimbus Roman No9 L"/>
      <w:color w:val="auto"/>
      <w:kern w:val="2"/>
      <w:sz w:val="21"/>
      <w:szCs w:val="24"/>
      <w:lang w:val="en-US" w:eastAsia="zh-CN" w:bidi="hi-IN"/>
    </w:rPr>
  </w:style>
  <w:style w:type="character" w:styleId="WW8Num1z0">
    <w:name w:val="WW8Num1z0"/>
    <w:qFormat/>
    <w:rPr/>
  </w:style>
  <w:style w:type="character" w:styleId="WW8Num2z0">
    <w:name w:val="WW8Num2z0"/>
    <w:qFormat/>
    <w:rPr/>
  </w:style>
  <w:style w:type="character" w:styleId="Style14">
    <w:name w:val="默认段落字体"/>
    <w:qFormat/>
    <w:rPr>
      <w:sz w:val="24"/>
      <w:szCs w:val="24"/>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Style16">
    <w:name w:val="普通(网站)"/>
    <w:basedOn w:val="Normal"/>
    <w:qFormat/>
    <w:pPr>
      <w:widowControl/>
      <w:spacing w:lineRule="auto" w:line="360" w:before="100" w:after="100"/>
      <w:jc w:val="start"/>
    </w:pPr>
    <w:rPr>
      <w:rFonts w:ascii="Arial Unicode MS;Nimbus Roman No9 L" w:hAnsi="Arial Unicode MS;Nimbus Roman No9 L" w:eastAsia="Arial Unicode MS;Nimbus Roman No9 L" w:cs="Arial Unicode MS;Nimbus Roman No9 L"/>
      <w:color w:val="000000"/>
      <w:kern w:val="0"/>
      <w:sz w:val="18"/>
    </w:rPr>
  </w:style>
  <w:style w:type="paragraph" w:styleId="Default">
    <w:name w:val="Default"/>
    <w:qFormat/>
    <w:pPr>
      <w:widowControl w:val="false"/>
      <w:autoSpaceDE w:val="false"/>
      <w:bidi w:val="0"/>
    </w:pPr>
    <w:rPr>
      <w:rFonts w:ascii="Arial;Nimbus Roman No9 L" w:hAnsi="Arial;Nimbus Roman No9 L" w:eastAsia="宋体;方正书宋_GBK" w:cs="Arial;Nimbus Roman No9 L"/>
      <w:color w:val="000000"/>
      <w:sz w:val="24"/>
      <w:szCs w:val="24"/>
      <w:lang w:val="en-US" w:eastAsia="zh-CN" w:bidi="hi-IN"/>
    </w:rPr>
  </w:style>
  <w:style w:type="paragraph" w:styleId="CM10">
    <w:name w:val="CM10"/>
    <w:basedOn w:val="Default"/>
    <w:next w:val="Default"/>
    <w:qFormat/>
    <w:pPr/>
    <w:rPr>
      <w:sz w:val="24"/>
      <w:szCs w:val="24"/>
    </w:rPr>
  </w:style>
  <w:style w:type="paragraph" w:styleId="CM7">
    <w:name w:val="CM7"/>
    <w:basedOn w:val="Default"/>
    <w:next w:val="Default"/>
    <w:qFormat/>
    <w:pPr>
      <w:spacing w:lineRule="atLeast" w:line="646"/>
    </w:pPr>
    <w:rPr>
      <w:sz w:val="24"/>
      <w:szCs w:val="24"/>
    </w:rPr>
  </w:style>
  <w:style w:type="paragraph" w:styleId="CM27">
    <w:name w:val="CM27"/>
    <w:basedOn w:val="Default"/>
    <w:next w:val="Default"/>
    <w:qFormat/>
    <w:pPr/>
    <w:rPr>
      <w:sz w:val="24"/>
      <w:szCs w:val="24"/>
    </w:rPr>
  </w:style>
  <w:style w:type="paragraph" w:styleId="CM24">
    <w:name w:val="CM24"/>
    <w:basedOn w:val="Default"/>
    <w:next w:val="Default"/>
    <w:qFormat/>
    <w:pPr/>
    <w:rPr>
      <w:sz w:val="24"/>
      <w:szCs w:val="24"/>
    </w:rPr>
  </w:style>
  <w:style w:type="paragraph" w:styleId="CM23">
    <w:name w:val="CM23"/>
    <w:basedOn w:val="Default"/>
    <w:next w:val="Default"/>
    <w:qFormat/>
    <w:pPr/>
    <w:rPr>
      <w:sz w:val="24"/>
      <w:szCs w:val="24"/>
    </w:rPr>
  </w:style>
  <w:style w:type="paragraph" w:styleId="CM26">
    <w:name w:val="CM26"/>
    <w:basedOn w:val="Default"/>
    <w:next w:val="Default"/>
    <w:qFormat/>
    <w:pPr/>
    <w:rPr>
      <w:sz w:val="24"/>
      <w:szCs w:val="24"/>
    </w:rPr>
  </w:style>
  <w:style w:type="paragraph" w:styleId="CM28">
    <w:name w:val="CM28"/>
    <w:basedOn w:val="Default"/>
    <w:next w:val="Default"/>
    <w:qFormat/>
    <w:pPr/>
    <w:rPr>
      <w:sz w:val="24"/>
      <w:szCs w:val="24"/>
    </w:rPr>
  </w:style>
  <w:style w:type="paragraph" w:styleId="CM8">
    <w:name w:val="CM8"/>
    <w:basedOn w:val="Default"/>
    <w:next w:val="Default"/>
    <w:qFormat/>
    <w:pPr/>
    <w:rPr>
      <w:sz w:val="24"/>
      <w:szCs w:val="24"/>
    </w:rPr>
  </w:style>
  <w:style w:type="paragraph" w:styleId="CM30">
    <w:name w:val="CM30"/>
    <w:basedOn w:val="Default"/>
    <w:next w:val="Default"/>
    <w:qFormat/>
    <w:pPr/>
    <w:rPr>
      <w:sz w:val="24"/>
      <w:szCs w:val="24"/>
    </w:rPr>
  </w:style>
  <w:style w:type="paragraph" w:styleId="CM9">
    <w:name w:val="CM9"/>
    <w:basedOn w:val="Default"/>
    <w:next w:val="Default"/>
    <w:qFormat/>
    <w:pPr/>
    <w:rPr>
      <w:sz w:val="24"/>
      <w:szCs w:val="24"/>
    </w:rPr>
  </w:style>
  <w:style w:type="paragraph" w:styleId="CM18">
    <w:name w:val="CM18"/>
    <w:basedOn w:val="Default"/>
    <w:next w:val="Default"/>
    <w:qFormat/>
    <w:pPr/>
    <w:rPr>
      <w:sz w:val="24"/>
      <w:szCs w:val="24"/>
    </w:rPr>
  </w:style>
  <w:style w:type="paragraph" w:styleId="CM2">
    <w:name w:val="CM2"/>
    <w:basedOn w:val="Default"/>
    <w:next w:val="Default"/>
    <w:qFormat/>
    <w:pPr/>
    <w:rPr>
      <w:sz w:val="24"/>
      <w:szCs w:val="24"/>
    </w:rPr>
  </w:style>
  <w:style w:type="paragraph" w:styleId="CM21">
    <w:name w:val="CM21"/>
    <w:basedOn w:val="Default"/>
    <w:next w:val="Default"/>
    <w:qFormat/>
    <w:pPr/>
    <w:rPr>
      <w:sz w:val="24"/>
      <w:szCs w:val="24"/>
    </w:rPr>
  </w:style>
  <w:style w:type="paragraph" w:styleId="CM1">
    <w:name w:val="CM1"/>
    <w:basedOn w:val="Default"/>
    <w:next w:val="Default"/>
    <w:qFormat/>
    <w:pPr/>
    <w:rPr>
      <w:sz w:val="24"/>
      <w:szCs w:val="24"/>
    </w:rPr>
  </w:style>
  <w:style w:type="paragraph" w:styleId="CM12">
    <w:name w:val="CM12"/>
    <w:basedOn w:val="Default"/>
    <w:next w:val="Default"/>
    <w:qFormat/>
    <w:pPr/>
    <w:rPr>
      <w:sz w:val="24"/>
      <w:szCs w:val="24"/>
    </w:rPr>
  </w:style>
  <w:style w:type="paragraph" w:styleId="CM25">
    <w:name w:val="CM25"/>
    <w:basedOn w:val="Default"/>
    <w:next w:val="Default"/>
    <w:qFormat/>
    <w:pPr/>
    <w:rPr>
      <w:sz w:val="24"/>
      <w:szCs w:val="24"/>
    </w:rPr>
  </w:style>
  <w:style w:type="paragraph" w:styleId="CM6">
    <w:name w:val="CM6"/>
    <w:basedOn w:val="Default"/>
    <w:next w:val="Default"/>
    <w:qFormat/>
    <w:pPr/>
    <w:rPr>
      <w:sz w:val="24"/>
      <w:szCs w:val="24"/>
    </w:rPr>
  </w:style>
  <w:style w:type="paragraph" w:styleId="CM17">
    <w:name w:val="CM17"/>
    <w:basedOn w:val="Default"/>
    <w:next w:val="Default"/>
    <w:qFormat/>
    <w:pPr/>
    <w:rPr>
      <w:sz w:val="24"/>
      <w:szCs w:val="24"/>
    </w:rPr>
  </w:style>
  <w:style w:type="paragraph" w:styleId="CM13">
    <w:name w:val="CM13"/>
    <w:basedOn w:val="Default"/>
    <w:next w:val="Default"/>
    <w:qFormat/>
    <w:pPr>
      <w:spacing w:lineRule="atLeast" w:line="448"/>
    </w:pPr>
    <w:rPr>
      <w:sz w:val="24"/>
      <w:szCs w:val="24"/>
    </w:rPr>
  </w:style>
  <w:style w:type="paragraph" w:styleId="CM5">
    <w:name w:val="CM5"/>
    <w:basedOn w:val="Default"/>
    <w:next w:val="Default"/>
    <w:qFormat/>
    <w:pPr/>
    <w:rPr>
      <w:sz w:val="24"/>
      <w:szCs w:val="24"/>
    </w:rPr>
  </w:style>
  <w:style w:type="paragraph" w:styleId="CM22">
    <w:name w:val="CM22"/>
    <w:basedOn w:val="Default"/>
    <w:next w:val="Default"/>
    <w:qFormat/>
    <w:pPr/>
    <w:rPr>
      <w:sz w:val="24"/>
      <w:szCs w:val="24"/>
    </w:rPr>
  </w:style>
  <w:style w:type="paragraph" w:styleId="CM14">
    <w:name w:val="CM14"/>
    <w:basedOn w:val="Default"/>
    <w:next w:val="Default"/>
    <w:qFormat/>
    <w:pPr>
      <w:spacing w:lineRule="atLeast" w:line="451"/>
    </w:pPr>
    <w:rPr>
      <w:sz w:val="24"/>
      <w:szCs w:val="24"/>
    </w:rPr>
  </w:style>
  <w:style w:type="paragraph" w:styleId="CM15">
    <w:name w:val="CM15"/>
    <w:basedOn w:val="Default"/>
    <w:next w:val="Default"/>
    <w:qFormat/>
    <w:pPr/>
    <w:rPr>
      <w:sz w:val="24"/>
      <w:szCs w:val="24"/>
    </w:rPr>
  </w:style>
  <w:style w:type="paragraph" w:styleId="CM16">
    <w:name w:val="CM16"/>
    <w:basedOn w:val="Default"/>
    <w:next w:val="Default"/>
    <w:qFormat/>
    <w:pPr/>
    <w:rPr>
      <w:sz w:val="24"/>
      <w:szCs w:val="24"/>
    </w:rPr>
  </w:style>
  <w:style w:type="paragraph" w:styleId="CM4">
    <w:name w:val="CM4"/>
    <w:basedOn w:val="Default"/>
    <w:next w:val="Default"/>
    <w:qFormat/>
    <w:pPr>
      <w:spacing w:lineRule="atLeast" w:line="631"/>
    </w:pPr>
    <w:rPr>
      <w:sz w:val="24"/>
      <w:szCs w:val="24"/>
    </w:rPr>
  </w:style>
  <w:style w:type="paragraph" w:styleId="CM20">
    <w:name w:val="CM20"/>
    <w:basedOn w:val="Default"/>
    <w:next w:val="Default"/>
    <w:qFormat/>
    <w:pPr/>
    <w:rPr>
      <w:sz w:val="24"/>
      <w:szCs w:val="24"/>
    </w:rPr>
  </w:style>
  <w:style w:type="paragraph" w:styleId="CM11">
    <w:name w:val="CM11"/>
    <w:basedOn w:val="Default"/>
    <w:next w:val="Default"/>
    <w:qFormat/>
    <w:pPr/>
    <w:rPr>
      <w:sz w:val="24"/>
      <w:szCs w:val="24"/>
    </w:rPr>
  </w:style>
  <w:style w:type="paragraph" w:styleId="CM3">
    <w:name w:val="CM3"/>
    <w:basedOn w:val="Default"/>
    <w:next w:val="Default"/>
    <w:qFormat/>
    <w:pPr/>
    <w:rPr>
      <w:sz w:val="24"/>
      <w:szCs w:val="24"/>
    </w:rPr>
  </w:style>
  <w:style w:type="paragraph" w:styleId="CM29">
    <w:name w:val="CM29"/>
    <w:basedOn w:val="Default"/>
    <w:next w:val="Default"/>
    <w:qFormat/>
    <w:pPr/>
    <w:rPr>
      <w:sz w:val="24"/>
      <w:szCs w:val="24"/>
    </w:rPr>
  </w:style>
  <w:style w:type="paragraph" w:styleId="CM19">
    <w:name w:val="CM19"/>
    <w:basedOn w:val="Default"/>
    <w:next w:val="Default"/>
    <w:qFormat/>
    <w:pPr/>
    <w:rPr>
      <w:sz w:val="24"/>
      <w:szCs w:val="24"/>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19680</TotalTime>
  <Application>LibreOffice/25.2.2.2$MacOSX_AARCH64 LibreOffice_project/7370d4be9e3cf6031a51beef54ff3bda878e3fac</Application>
  <AppVersion>15.0000</AppVersion>
  <Pages>3</Pages>
  <Words>1026</Words>
  <Characters>1076</Characters>
  <CharactersWithSpaces>1571</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2022-01-20T06:44:34Z</dcterms:created>
  <dc:creator>jih</dc:creator>
  <dc:description/>
  <dc:language>zh-CN</dc:language>
  <cp:lastModifiedBy>jih</cp:lastModifiedBy>
  <dcterms:modified xsi:type="dcterms:W3CDTF">2022-01-19T21:47:27Z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