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>JF-2008-041</w:t>
      </w:r>
      <w:r>
        <w:rPr>
          <w:szCs w:val="21"/>
        </w:rPr>
        <w:t xml:space="preserve">                            </w:t>
      </w:r>
      <w:r>
        <w:rPr>
          <w:szCs w:val="21"/>
        </w:rPr>
        <w:t>合同编号：</w:t>
      </w:r>
    </w:p>
    <w:p>
      <w:pPr>
        <w:pStyle w:val="3"/>
        <w:rPr/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天津市木材买卖合同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签订时间：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签订地点：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根据《中华人民共和国合同法》、《木材统一送货办法》及其他有关法律、行政法规的规定，买卖双方在平等、自愿、公平、诚实信用的基础上，就木材买卖事宜达成协议如下：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所购木材基本情况                   单位：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10"/>
        <w:gridCol w:w="552"/>
        <w:gridCol w:w="495"/>
        <w:gridCol w:w="881"/>
        <w:gridCol w:w="547"/>
        <w:gridCol w:w="725"/>
        <w:gridCol w:w="636"/>
        <w:gridCol w:w="469"/>
        <w:gridCol w:w="652"/>
        <w:gridCol w:w="652"/>
      </w:tblGrid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树材种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合计人民币（大写）   万   仟  佰  拾  元  角   分（小写）：￥        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第二条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质量标准：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第三条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交货：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294"/>
        <w:gridCol w:w="1154"/>
        <w:gridCol w:w="541"/>
        <w:gridCol w:w="635"/>
        <w:gridCol w:w="846"/>
        <w:gridCol w:w="635"/>
        <w:gridCol w:w="635"/>
        <w:gridCol w:w="635"/>
        <w:gridCol w:w="634"/>
        <w:gridCol w:w="510"/>
      </w:tblGrid>
      <w:tr>
        <w:trPr>
          <w:trHeight w:val="312" w:hRule="atLeast"/>
        </w:trPr>
        <w:tc>
          <w:tcPr>
            <w:tcW w:w="144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收货单位</w:t>
            </w:r>
          </w:p>
        </w:tc>
        <w:tc>
          <w:tcPr>
            <w:tcW w:w="202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到       站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时间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地点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方式</w:t>
            </w:r>
          </w:p>
        </w:tc>
      </w:tr>
      <w:tr>
        <w:trPr>
          <w:trHeight w:val="312" w:hRule="atLeast"/>
        </w:trPr>
        <w:tc>
          <w:tcPr>
            <w:tcW w:w="144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路局</w:t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车站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专用线</w:t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送货</w:t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自提</w:t>
            </w:r>
          </w:p>
        </w:tc>
      </w:tr>
      <w:tr>
        <w:trPr>
          <w:trHeight w:val="312" w:hRule="atLeast"/>
        </w:trPr>
        <w:tc>
          <w:tcPr>
            <w:tcW w:w="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包装标准及包装物的供应与回收：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验收：对于木材产品的规格型号、数量、材质等与约定不符或有其他质量问题的，买方异议期为卖方交货后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日内，异议经核实，卖方应无条件补足或换货。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验收标准：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付款方式及时间：双方约定以第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签定合同时，买方支付（□定金  □预付款）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元（定金不得超过总价款的</w:t>
      </w:r>
      <w:r>
        <w:rPr>
          <w:rFonts w:eastAsia="方正书宋_GBK" w:cs="方正书宋_GBK" w:ascii="方正书宋_GBK" w:hAnsi="方正书宋_GBK"/>
          <w:sz w:val="22"/>
          <w:szCs w:val="22"/>
        </w:rPr>
        <w:t>20%</w:t>
      </w:r>
      <w:r>
        <w:rPr>
          <w:rFonts w:ascii="方正书宋_GBK" w:hAnsi="方正书宋_GBK" w:cs="方正书宋_GBK" w:eastAsia="方正书宋_GBK"/>
          <w:sz w:val="22"/>
          <w:szCs w:val="22"/>
        </w:rPr>
        <w:t>），货到验收后一次性支付余款；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2.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第六条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（一）卖方违约责任：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、木材产品经专业机构检测不符合国家标准或合同约定质量标准的，卖方应无条件换、退货，或赔偿买方由此受到的损失。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、卖方迟延交货的，每日应向买方支付迟延部分价款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的违约金；迟延交货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、买方迟延提货的，每日应向卖方支付迟延部分价款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、买方无正当理由单方解除合同的，应赔偿由此给卖方造成的损失，已支付定金的无权要求返还。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争议解决方式：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第九条</w:t>
      </w:r>
      <w:r>
        <w:rPr>
          <w:rStyle w:val="2Char"/>
          <w:rFonts w:ascii="方正书宋_GBK" w:hAnsi="方正书宋_GBK" w:cs="方正书宋_GBK" w:eastAsia="方正书宋_GBK"/>
          <w:sz w:val="22"/>
          <w:szCs w:val="22"/>
          <w:lang w:val="en-US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对本合同的变更或补充不合理地减轻或免除卖方应承担的责任的，仍以本合同为准。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本合同未定事项，双方可协商签定补充协议。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买方（章）：                          卖方（章）：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邮编：                               邮编：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电话：                               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                         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                           开户银行：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                           帐    号：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：                              </w:t>
      </w: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2022-02-18T17:27:21Z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