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Cs w:val="32"/>
          <w:lang w:val="en-US" w:eastAsia="zh-CN"/>
        </w:rPr>
      </w:pPr>
      <w:r>
        <w:rPr>
          <w:rFonts w:eastAsia="仿宋" w:ascii="Times New Roman" w:hAnsi="Times New Roman"/>
          <w:b/>
          <w:sz w:val="28"/>
          <w:szCs w:val="28"/>
        </w:rPr>
        <w:t>JF-2020-082</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w:t>
      </w:r>
    </w:p>
    <w:p>
      <w:pPr>
        <w:pStyle w:val="Normal"/>
        <w:spacing w:lineRule="exact" w:line="560"/>
        <w:jc w:val="center"/>
        <w:rPr>
          <w:rFonts w:ascii="Times New Roman" w:hAnsi="Times New Roman" w:eastAsia="宋体"/>
          <w:sz w:val="28"/>
          <w:szCs w:val="28"/>
          <w:lang w:val="en-US" w:eastAsia="zh-CN"/>
        </w:rPr>
      </w:pPr>
      <w:r>
        <w:rPr>
          <w:rFonts w:eastAsia="宋体" w:ascii="Times New Roman" w:hAnsi="Times New Roman"/>
          <w:sz w:val="28"/>
          <w:szCs w:val="28"/>
          <w:lang w:val="en-US" w:eastAsia="zh-CN"/>
        </w:rPr>
      </w:r>
    </w:p>
    <w:p>
      <w:pPr>
        <w:pStyle w:val="Normal"/>
        <w:widowControl/>
        <w:snapToGrid w:val="false"/>
        <w:spacing w:lineRule="exact" w:line="56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天津市农村集体资源性资产（四荒地）</w:t>
      </w:r>
    </w:p>
    <w:p>
      <w:pPr>
        <w:pStyle w:val="Normal"/>
        <w:widowControl/>
        <w:snapToGrid w:val="false"/>
        <w:spacing w:lineRule="exact" w:line="560"/>
        <w:jc w:val="center"/>
        <w:rPr>
          <w:rFonts w:ascii="Times New Roman" w:hAnsi="Times New Roman" w:eastAsia="宋体" w:cs="宋体"/>
          <w:b/>
          <w:bCs/>
          <w:kern w:val="0"/>
          <w:sz w:val="44"/>
          <w:szCs w:val="44"/>
        </w:rPr>
      </w:pPr>
      <w:r>
        <w:rPr>
          <w:rFonts w:ascii="方正小标宋_GBK" w:hAnsi="方正小标宋_GBK" w:cs="方正小标宋_GBK" w:eastAsia="方正小标宋_GBK"/>
          <w:kern w:val="0"/>
          <w:sz w:val="40"/>
          <w:szCs w:val="40"/>
        </w:rPr>
        <w:t>承包合同</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（本合同适用于村集体经济组织发包</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荒山、荒沟、荒丘、荒滩时使用）</w:t>
      </w:r>
    </w:p>
    <w:p>
      <w:pPr>
        <w:pStyle w:val="Normal"/>
        <w:widowControl/>
        <w:spacing w:lineRule="exact" w:line="560"/>
        <w:jc w:val="center"/>
        <w:rPr>
          <w:rFonts w:ascii="Times New Roman" w:hAnsi="Times New Roman" w:eastAsia="方正楷体_GBK" w:cs="宋体"/>
          <w:kern w:val="0"/>
          <w:sz w:val="28"/>
          <w:szCs w:val="32"/>
        </w:rPr>
      </w:pPr>
      <w:r>
        <w:rPr>
          <w:rFonts w:eastAsia="方正楷体_GBK" w:cs="宋体" w:ascii="Times New Roman" w:hAnsi="Times New Roman"/>
          <w:kern w:val="0"/>
          <w:sz w:val="28"/>
          <w:szCs w:val="32"/>
        </w:rPr>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发包方（以下简称甲方）：</w:t>
      </w: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承包方（以下简称乙方）：</w:t>
      </w: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sz w:val="22"/>
          <w:szCs w:val="22"/>
        </w:rPr>
        <w:t>为维护承包双方当事人的合法权益，根据《中华人民共和国合同法》、《中华人民共和国物权法》、《中华人民共和国农村土地承包法》、《中华人民共和国农村土地承包经营纠纷调解仲裁法》等法律、法规和国家有关政策规定以及本集体经济组织依法通过的农村</w:t>
      </w:r>
      <w:r>
        <w:rPr>
          <w:rFonts w:ascii="方正书宋_GBK" w:hAnsi="方正书宋_GBK" w:cs="方正书宋_GBK" w:eastAsia="方正书宋_GBK"/>
          <w:bCs/>
          <w:sz w:val="22"/>
          <w:szCs w:val="22"/>
        </w:rPr>
        <w:t>集体资源性资产发包</w:t>
      </w:r>
      <w:r>
        <w:rPr>
          <w:rFonts w:ascii="方正书宋_GBK" w:hAnsi="方正书宋_GBK" w:cs="方正书宋_GBK" w:eastAsia="方正书宋_GBK"/>
          <w:sz w:val="22"/>
          <w:szCs w:val="22"/>
        </w:rPr>
        <w:t>方案，甲乙双方本着平等、自愿、公平、诚信的原则，经双方协商一致，订立本合同。</w:t>
      </w:r>
    </w:p>
    <w:p>
      <w:pPr>
        <w:pStyle w:val="Normal"/>
        <w:keepNext w:val="false"/>
        <w:keepLines w:val="false"/>
        <w:pageBreakBefore w:val="false"/>
        <w:widowControl/>
        <w:numPr>
          <w:ilvl w:val="0"/>
          <w:numId w:val="17"/>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bCs/>
          <w:sz w:val="22"/>
          <w:szCs w:val="22"/>
        </w:rPr>
        <w:t>集体资源性资产基本情况与用途</w:t>
      </w:r>
    </w:p>
    <w:p>
      <w:pPr>
        <w:pStyle w:val="Normal"/>
        <w:keepNext w:val="false"/>
        <w:keepLines w:val="false"/>
        <w:pageBreakBefore w:val="false"/>
        <w:widowControl/>
        <w:tabs>
          <w:tab w:val="clear" w:pos="420"/>
          <w:tab w:val="left" w:pos="0" w:leader="none"/>
        </w:tabs>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甲方将位于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占地总面积为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亩的四荒地（详见资源性资产基本情况表）通过天津市农村产权流转交易市场以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（招标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拍卖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公开协商）方式承包给乙方，从事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生产经营。</w:t>
      </w:r>
    </w:p>
    <w:p>
      <w:pPr>
        <w:pStyle w:val="Normal"/>
        <w:keepNext w:val="false"/>
        <w:keepLines w:val="false"/>
        <w:pageBreakBefore w:val="false"/>
        <w:widowControl/>
        <w:numPr>
          <w:ilvl w:val="0"/>
          <w:numId w:val="11"/>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承包期限和交付时间</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日之前将该四荒地交付乙方。</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承包费用与支付方式</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承包费用按下列第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种方式计算：</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实物计费货币结算方式。乙方须于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前一）年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日前按每亩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稻谷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其他实物）的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（市场价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当地政府收购指导价）为标准，折合成货币向甲方支付当年承包费。</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货币计费分期支付方式。承包费按照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亩标准计算，合计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年。乙方须于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前一）年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日前支付当年承包费。</w:t>
      </w:r>
    </w:p>
    <w:p>
      <w:pPr>
        <w:pStyle w:val="Normal"/>
        <w:keepNext w:val="false"/>
        <w:keepLines w:val="false"/>
        <w:pageBreakBefore w:val="false"/>
        <w:numPr>
          <w:ilvl w:val="0"/>
          <w:numId w:val="0"/>
        </w:numPr>
        <w:kinsoku w:val="true"/>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（或：第一次支付：乙方于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货币计费一次性付款方式。承包费按</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亩</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年计算，共计</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元。乙方须于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日前支付全部承包费。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其他支付方式：</w:t>
      </w:r>
      <w:r>
        <w:rPr>
          <w:rFonts w:eastAsia="方正书宋_GBK" w:cs="方正书宋_GBK" w:ascii="方正书宋_GBK" w:hAnsi="方正书宋_GBK"/>
          <w:sz w:val="22"/>
          <w:szCs w:val="22"/>
        </w:rPr>
        <w:t>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numPr>
          <w:ilvl w:val="0"/>
          <w:numId w:val="5"/>
        </w:numPr>
        <w:kinsoku w:val="true"/>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承包费用变动：</w:t>
      </w:r>
      <w:r>
        <w:rPr>
          <w:rFonts w:eastAsia="方正书宋_GBK" w:cs="方正书宋_GBK" w:ascii="方正书宋_GBK" w:hAnsi="方正书宋_GBK"/>
          <w:sz w:val="22"/>
          <w:szCs w:val="22"/>
        </w:rPr>
        <w:t>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numPr>
          <w:ilvl w:val="0"/>
          <w:numId w:val="0"/>
        </w:numPr>
        <w:kinsoku w:val="true"/>
        <w:overflowPunct w:val="true"/>
        <w:autoSpaceDE w:val="true"/>
        <w:bidi w:val="0"/>
        <w:snapToGrid w:val="false"/>
        <w:spacing w:lineRule="exact" w:line="42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b/>
          <w:sz w:val="22"/>
          <w:szCs w:val="22"/>
        </w:rPr>
        <w:t>特别提醒：每届村集体经济组织理事会或代行职能的村民委员会收取的承包费用，不得超过本届村集体经济组织理事会或代行职能的村民委员会任期的剩余期限。</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甲方的权利和义务</w:t>
      </w:r>
    </w:p>
    <w:p>
      <w:pPr>
        <w:pStyle w:val="Normal"/>
        <w:keepNext w:val="false"/>
        <w:keepLines w:val="false"/>
        <w:pageBreakBefore w:val="false"/>
        <w:numPr>
          <w:ilvl w:val="0"/>
          <w:numId w:val="1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甲方的权利</w:t>
      </w:r>
    </w:p>
    <w:p>
      <w:pPr>
        <w:pStyle w:val="Normal"/>
        <w:keepNext w:val="false"/>
        <w:keepLines w:val="false"/>
        <w:pageBreakBefore w:val="false"/>
        <w:numPr>
          <w:ilvl w:val="0"/>
          <w:numId w:val="19"/>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有权监督乙方按合同约定依法利用和保护该四荒地</w:t>
      </w:r>
      <w:r>
        <w:rPr>
          <w:rFonts w:ascii="方正书宋_GBK" w:hAnsi="方正书宋_GBK" w:cs="方正书宋_GBK" w:eastAsia="方正书宋_GBK"/>
          <w:bCs/>
          <w:sz w:val="22"/>
          <w:szCs w:val="22"/>
        </w:rPr>
        <w:t>，制止乙方的损害行为</w:t>
      </w:r>
      <w:r>
        <w:rPr>
          <w:rFonts w:ascii="方正书宋_GBK" w:hAnsi="方正书宋_GBK" w:cs="方正书宋_GBK" w:eastAsia="方正书宋_GBK"/>
          <w:sz w:val="22"/>
          <w:szCs w:val="22"/>
        </w:rPr>
        <w:t>；</w:t>
      </w:r>
    </w:p>
    <w:p>
      <w:pPr>
        <w:pStyle w:val="Normal"/>
        <w:keepNext w:val="false"/>
        <w:keepLines w:val="false"/>
        <w:pageBreakBefore w:val="false"/>
        <w:numPr>
          <w:ilvl w:val="0"/>
          <w:numId w:val="1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有权在本合同到期后收回该四荒地；</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乙方无正当理由未支付或者延迟支付承包费的，甲方可以要求乙方在合理期限内支付。经催告后，在合理期限内乙方仍未支付的，甲方可以解除合同。</w:t>
      </w:r>
    </w:p>
    <w:p>
      <w:pPr>
        <w:pStyle w:val="Normal"/>
        <w:keepNext w:val="false"/>
        <w:keepLines w:val="false"/>
        <w:pageBreakBefore w:val="false"/>
        <w:numPr>
          <w:ilvl w:val="0"/>
          <w:numId w:val="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该发包土地被征收、征用、占用的，有权获得</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1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甲方的义务</w:t>
      </w:r>
    </w:p>
    <w:p>
      <w:pPr>
        <w:pStyle w:val="Normal"/>
        <w:keepNext w:val="false"/>
        <w:keepLines w:val="false"/>
        <w:pageBreakBefore w:val="false"/>
        <w:numPr>
          <w:ilvl w:val="0"/>
          <w:numId w:val="20"/>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按时交付约定发包的四荒地；</w:t>
      </w:r>
    </w:p>
    <w:p>
      <w:pPr>
        <w:pStyle w:val="Normal"/>
        <w:keepNext w:val="false"/>
        <w:keepLines w:val="false"/>
        <w:pageBreakBefore w:val="false"/>
        <w:numPr>
          <w:ilvl w:val="0"/>
          <w:numId w:val="7"/>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应确认该发包四荒地权属合法、清晰，无任何与该四荒地有关的权属纠纷和经济纠纷；</w:t>
      </w:r>
    </w:p>
    <w:p>
      <w:pPr>
        <w:pStyle w:val="Normal"/>
        <w:keepNext w:val="false"/>
        <w:keepLines w:val="false"/>
        <w:pageBreakBefore w:val="false"/>
        <w:numPr>
          <w:ilvl w:val="0"/>
          <w:numId w:val="7"/>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协助乙方处理与其他承包户发生的用路、用水、用电等纠纷；</w:t>
      </w:r>
    </w:p>
    <w:p>
      <w:pPr>
        <w:pStyle w:val="Normal"/>
        <w:keepNext w:val="false"/>
        <w:keepLines w:val="false"/>
        <w:pageBreakBefore w:val="false"/>
        <w:numPr>
          <w:ilvl w:val="0"/>
          <w:numId w:val="7"/>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尊重</w:t>
      </w:r>
      <w:r>
        <w:rPr>
          <w:rFonts w:ascii="方正书宋_GBK" w:hAnsi="方正书宋_GBK" w:cs="方正书宋_GBK" w:eastAsia="方正书宋_GBK"/>
          <w:bCs/>
          <w:sz w:val="22"/>
          <w:szCs w:val="22"/>
        </w:rPr>
        <w:t>乙</w:t>
      </w:r>
      <w:r>
        <w:rPr>
          <w:rFonts w:ascii="方正书宋_GBK" w:hAnsi="方正书宋_GBK" w:cs="方正书宋_GBK" w:eastAsia="方正书宋_GBK"/>
          <w:sz w:val="22"/>
          <w:szCs w:val="22"/>
        </w:rPr>
        <w:t>方的生产经营自主权，不得干涉</w:t>
      </w:r>
      <w:r>
        <w:rPr>
          <w:rFonts w:ascii="方正书宋_GBK" w:hAnsi="方正书宋_GBK" w:cs="方正书宋_GBK" w:eastAsia="方正书宋_GBK"/>
          <w:bCs/>
          <w:sz w:val="22"/>
          <w:szCs w:val="22"/>
        </w:rPr>
        <w:t>乙</w:t>
      </w:r>
      <w:r>
        <w:rPr>
          <w:rFonts w:ascii="方正书宋_GBK" w:hAnsi="方正书宋_GBK" w:cs="方正书宋_GBK" w:eastAsia="方正书宋_GBK"/>
          <w:sz w:val="22"/>
          <w:szCs w:val="22"/>
        </w:rPr>
        <w:t>方依法进行正常的生产经营活动。</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乙方的权利和义务</w:t>
      </w:r>
    </w:p>
    <w:p>
      <w:pPr>
        <w:pStyle w:val="Normal"/>
        <w:keepNext w:val="false"/>
        <w:keepLines w:val="false"/>
        <w:pageBreakBefore w:val="false"/>
        <w:numPr>
          <w:ilvl w:val="0"/>
          <w:numId w:val="21"/>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乙方的权利</w:t>
      </w:r>
    </w:p>
    <w:p>
      <w:pPr>
        <w:pStyle w:val="Normal"/>
        <w:keepNext w:val="false"/>
        <w:keepLines w:val="false"/>
        <w:pageBreakBefore w:val="false"/>
        <w:numPr>
          <w:ilvl w:val="0"/>
          <w:numId w:val="22"/>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依法享有四荒地使用、收益的权利，有权自主组织生产经营和处置产品；</w:t>
      </w:r>
    </w:p>
    <w:p>
      <w:pPr>
        <w:pStyle w:val="Normal"/>
        <w:keepNext w:val="false"/>
        <w:keepLines w:val="false"/>
        <w:pageBreakBefore w:val="false"/>
        <w:numPr>
          <w:ilvl w:val="0"/>
          <w:numId w:val="15"/>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有权利用该承包四荒地上已有的开展农业生产所必需的水系、道路、构筑物等设施；</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合同到期后，有权在同等条件下优先续包；</w:t>
      </w:r>
    </w:p>
    <w:p>
      <w:pPr>
        <w:pStyle w:val="Normal"/>
        <w:keepNext w:val="false"/>
        <w:keepLines w:val="false"/>
        <w:pageBreakBefore w:val="false"/>
        <w:numPr>
          <w:ilvl w:val="0"/>
          <w:numId w:val="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承包期间四荒地及周边土地被依法征收、征用、占用的，乙方应服从，但有权获得</w:t>
      </w:r>
      <w:r>
        <w:rPr>
          <w:rFonts w:eastAsia="方正书宋_GBK" w:cs="方正书宋_GBK" w:ascii="方正书宋_GBK" w:hAnsi="方正书宋_GBK"/>
          <w:sz w:val="22"/>
          <w:szCs w:val="22"/>
        </w:rPr>
        <w:t>_________________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1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乙方的义务</w:t>
      </w:r>
    </w:p>
    <w:p>
      <w:pPr>
        <w:pStyle w:val="Normal"/>
        <w:keepNext w:val="false"/>
        <w:keepLines w:val="false"/>
        <w:pageBreakBefore w:val="false"/>
        <w:numPr>
          <w:ilvl w:val="0"/>
          <w:numId w:val="2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按合同约定及时接收该承包四荒地并向甲方足额支付承包费；</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承包期间，未经登记不得进行抵押及再流转；</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本合同到期，应提前一个月告知甲方是否续包。不续包的，应于合同到期日交回该流转土地；</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配合做好四荒地承包合同的审查备案工作；</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负责地上设施的维护和维修，合同到期后完整交付；</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为提高土地生产能力而进行设施改建，应征得甲方同意，需报有关部门批准的，按照相关规定办理；</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妥善管理该承包四荒地上未列入合同的水系、道路、构筑物等设施，如需使用或变动，须征得甲方和发包方同意；</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在法律法规政策和合同约定允许范围内保护和合理利用该承包四荒地，不得破坏农业综合生产能力和农业生态环境，不得撂荒土地、不得擅自改变土地用途、不得给土地造成永久性损害。</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交付时和合同到期后地上附着物及相关设施的处理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签订本合同并交付该集体资源性资产时，地上附着物及相关设施有：</w:t>
      </w:r>
      <w:r>
        <w:rPr>
          <w:rFonts w:eastAsia="方正书宋_GBK" w:cs="方正书宋_GBK" w:ascii="方正书宋_GBK" w:hAnsi="方正书宋_GBK"/>
          <w:sz w:val="22"/>
          <w:szCs w:val="22"/>
        </w:rPr>
        <w:t>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合同到期时，由国家或地方财政直接补助形成的财产按国家和本市有关规定处理。</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乙方经营期间利用除财政补助外的资金构建的地上附着物及相关设备设施按下列方式处理：</w:t>
      </w:r>
      <w:r>
        <w:rPr>
          <w:rFonts w:eastAsia="方正书宋_GBK" w:cs="方正书宋_GBK" w:ascii="方正书宋_GBK" w:hAnsi="方正书宋_GBK"/>
          <w:sz w:val="22"/>
          <w:szCs w:val="22"/>
        </w:rPr>
        <w:t>_____________________________________________________________________________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合同到期该集体资源性资产恢复原状等事项的处理：</w:t>
      </w:r>
      <w:r>
        <w:rPr>
          <w:rFonts w:eastAsia="方正书宋_GBK" w:cs="方正书宋_GBK" w:ascii="方正书宋_GBK" w:hAnsi="方正书宋_GBK"/>
          <w:sz w:val="22"/>
          <w:szCs w:val="22"/>
        </w:rPr>
        <w:t>__________________________________________________________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合同变更、解除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经协商一致，甲乙双方可对本合同进行变更、解除。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当事人一方中途变更或解除合同的，应提前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日书面通知对方。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合同有效期内，因不可抗力导致合同无法继续履行的，当事人可以解除合同；双方应按合同解除日期，结清合同履行期间相关费用。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当事人一方违约导致合同无法履行的，另一方可以解除合同。</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违约责任</w:t>
      </w:r>
    </w:p>
    <w:p>
      <w:pPr>
        <w:pStyle w:val="Normal"/>
        <w:keepNext w:val="false"/>
        <w:keepLines w:val="false"/>
        <w:pageBreakBefore w:val="false"/>
        <w:widowControl/>
        <w:numPr>
          <w:ilvl w:val="0"/>
          <w:numId w:val="24"/>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因变更或解除本合同使一方遭受损失的，除依法可免除责任的情形，应向守约方支付违约金＿＿＿＿＿元。如果违约金不足以弥补守约方经济损失，违约方应据实赔偿。</w:t>
      </w:r>
    </w:p>
    <w:p>
      <w:pPr>
        <w:pStyle w:val="Normal"/>
        <w:keepNext w:val="false"/>
        <w:keepLines w:val="false"/>
        <w:pageBreakBefore w:val="false"/>
        <w:widowControl/>
        <w:numPr>
          <w:ilvl w:val="0"/>
          <w:numId w:val="16"/>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甲方逾期交付本合同约定的集体资源性资产，每延迟一天，按承包费用的</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承担违约金。</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乙方逾期支付承包费，每延迟一天，按应支付费用的</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承担违约金。</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甲方非法干预乙方生产经营活动，给乙方造成损失的，应予以赔偿。</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乙方私自在承包区域内取土或未经甲方书面同意私自改变土地用途和结构、破坏水利等基本设施或给土地造成永久性损害的，甲方有权解除合同，乙方应当赔偿对甲方造成的损失。</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纠纷解决方式</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甲乙双方发生纠纷，可以协商解决，也可以请求镇（乡、街）人民政府等调解。当事人不愿协商、调解或者协商、调解不成的，可以向农村土地承包仲裁机构申请仲裁，也可以直接向人民法院起诉。</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特别约定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承包合同生效后，不因承办人或者负责人的变动而变更或者解除，也不因集体经济组织的分立或者合并而变更或者解除。</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2"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其他约定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本合同一式四份，双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甲乙双方各执一份，镇（乡、街）农村集体资产管理部门备案一份，天津市农村产权流转交易市场留存一份。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eastAsia="zh-TW" w:bidi="zh-TW"/>
        </w:rPr>
      </w:pPr>
      <w:r>
        <w:rPr>
          <w:rFonts w:eastAsia="方正书宋_GBK" w:cs="方正书宋_GBK" w:ascii="方正书宋_GBK" w:hAnsi="方正书宋_GBK"/>
          <w:b/>
          <w:color w:val="3F3C4A"/>
          <w:kern w:val="0"/>
          <w:sz w:val="22"/>
          <w:szCs w:val="22"/>
          <w:lang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2"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 xml:space="preserve">            </w:t>
      </w:r>
      <w:r>
        <w:rPr>
          <w:rFonts w:eastAsia="方正书宋_GBK" w:cs="方正书宋_GBK" w:ascii="方正书宋_GBK" w:hAnsi="方正书宋_GBK"/>
          <w:color w:val="000000"/>
          <w:kern w:val="0"/>
          <w:sz w:val="22"/>
          <w:szCs w:val="22"/>
          <w:u w:val="single"/>
          <w:lang w:val="zh-TW" w:eastAsia="zh-TW" w:bidi="zh-TW"/>
        </w:rPr>
        <w:t>_______</w:t>
      </w:r>
      <w:r>
        <w:rPr>
          <w:rFonts w:ascii="方正书宋_GBK" w:hAnsi="方正书宋_GBK" w:cs="方正书宋_GBK" w:eastAsia="方正书宋_GBK"/>
          <w:color w:val="000000"/>
          <w:kern w:val="0"/>
          <w:sz w:val="22"/>
          <w:szCs w:val="22"/>
          <w:u w:val="single"/>
          <w:lang w:val="zh-TW" w:eastAsia="zh-TW" w:bidi="zh-TW"/>
        </w:rPr>
        <w:t>年</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月</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日</w:t>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699"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bidi="zh-TW"/>
              </w:rPr>
              <w:t>统一社会</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2"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            </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 xml:space="preserve">日 </w:t>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123"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____________________________________________</w:t>
      </w:r>
    </w:p>
    <w:p>
      <w:pPr>
        <w:sectPr>
          <w:headerReference w:type="default" r:id="rId2"/>
          <w:footerReference w:type="default" r:id="rId3"/>
          <w:type w:val="nextPage"/>
          <w:pgSz w:w="11906" w:h="16838"/>
          <w:pgMar w:left="1587" w:right="1474" w:gutter="0" w:header="0" w:top="2098" w:footer="1417" w:bottom="1984"/>
          <w:pgNumType w:fmt="decimal"/>
          <w:formProt w:val="false"/>
          <w:textDirection w:val="lrTb"/>
          <w:docGrid w:type="lines" w:linePitch="386" w:charSpace="0"/>
        </w:sect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合同附件：</w:t>
      </w:r>
    </w:p>
    <w:p>
      <w:pPr>
        <w:pStyle w:val="Normal"/>
        <w:spacing w:lineRule="exact" w:line="5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20"/>
        <w:jc w:val="center"/>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资源性资产基本情况表</w:t>
      </w:r>
    </w:p>
    <w:p>
      <w:pPr>
        <w:pStyle w:val="Normal"/>
        <w:spacing w:lineRule="exact" w:line="520"/>
        <w:jc w:val="center"/>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bl>
      <w:tblPr>
        <w:tblW w:w="13568" w:type="dxa"/>
        <w:jc w:val="center"/>
        <w:tblInd w:w="0" w:type="dxa"/>
        <w:tblLayout w:type="fixed"/>
        <w:tblCellMar>
          <w:top w:w="0" w:type="dxa"/>
          <w:start w:w="108" w:type="dxa"/>
          <w:bottom w:w="0" w:type="dxa"/>
          <w:end w:w="108" w:type="dxa"/>
        </w:tblCellMar>
      </w:tblPr>
      <w:tblGrid>
        <w:gridCol w:w="873"/>
        <w:gridCol w:w="3519"/>
        <w:gridCol w:w="1516"/>
        <w:gridCol w:w="1915"/>
        <w:gridCol w:w="1915"/>
        <w:gridCol w:w="1915"/>
        <w:gridCol w:w="1915"/>
      </w:tblGrid>
      <w:tr>
        <w:trPr>
          <w:trHeight w:val="460" w:hRule="atLeast"/>
        </w:trPr>
        <w:tc>
          <w:tcPr>
            <w:tcW w:w="8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3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资源名称</w:t>
            </w:r>
          </w:p>
        </w:tc>
        <w:tc>
          <w:tcPr>
            <w:tcW w:w="1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面积</w:t>
            </w:r>
          </w:p>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（亩）</w:t>
            </w:r>
          </w:p>
        </w:tc>
        <w:tc>
          <w:tcPr>
            <w:tcW w:w="766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四至界限</w:t>
            </w:r>
          </w:p>
        </w:tc>
      </w:tr>
      <w:tr>
        <w:trPr>
          <w:trHeight w:val="447" w:hRule="atLeast"/>
        </w:trPr>
        <w:tc>
          <w:tcPr>
            <w:tcW w:w="8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东</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南</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西</w:t>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北</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3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1356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p>
        </w:tc>
      </w:tr>
      <w:tr>
        <w:trPr>
          <w:trHeight w:val="667" w:hRule="atLeast"/>
        </w:trPr>
        <w:tc>
          <w:tcPr>
            <w:tcW w:w="8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tc>
        <w:tc>
          <w:tcPr>
            <w:tcW w:w="12695"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（大写）            亩（小写）          亩</w:t>
            </w:r>
          </w:p>
        </w:tc>
      </w:tr>
    </w:tbl>
    <w:p>
      <w:pPr>
        <w:sectPr>
          <w:headerReference w:type="default" r:id="rId4"/>
          <w:headerReference w:type="first" r:id="rId5"/>
          <w:footerReference w:type="default" r:id="rId6"/>
          <w:footerReference w:type="first" r:id="rId7"/>
          <w:type w:val="nextPage"/>
          <w:pgSz w:orient="landscape" w:w="16838" w:h="11906"/>
          <w:pgMar w:left="2098" w:right="1984" w:gutter="0" w:header="0" w:top="1587" w:footer="1417" w:bottom="1474"/>
          <w:pgNumType w:fmt="decimal"/>
          <w:formProt w:val="false"/>
          <w:textDirection w:val="lrTb"/>
          <w:docGrid w:type="lines" w:linePitch="402" w:charSpace="0"/>
        </w:sectPr>
      </w:pP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8"/>
      <w:headerReference w:type="first" r:id="rId9"/>
      <w:footerReference w:type="default" r:id="rId10"/>
      <w:footerReference w:type="first" r:id="rId11"/>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1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3" name="Frame3"/>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EnclosedCircle"/>
      <w:suff w:val="nothing"/>
      <w:lvlText w:val="%1　"/>
      <w:lvlJc w:val="start"/>
      <w:pPr>
        <w:tabs>
          <w:tab w:val="num" w:pos="0"/>
        </w:tabs>
        <w:ind w:start="0" w:firstLine="400"/>
      </w:pPr>
    </w:lvl>
  </w:abstractNum>
  <w:abstractNum w:abstractNumId="3">
    <w:lvl w:ilvl="0">
      <w:start w:val="1"/>
      <w:numFmt w:val="decimalEnclosedCircle"/>
      <w:suff w:val="nothing"/>
      <w:lvlText w:val="%1　"/>
      <w:lvlJc w:val="start"/>
      <w:pPr>
        <w:tabs>
          <w:tab w:val="num" w:pos="0"/>
        </w:tabs>
        <w:ind w:start="167" w:firstLine="400"/>
      </w:pPr>
    </w:lvl>
  </w:abstractNum>
  <w:abstractNum w:abstractNumId="4">
    <w:lvl w:ilvl="0">
      <w:start w:val="1"/>
      <w:numFmt w:val="decimalEnclosedCircle"/>
      <w:suff w:val="nothing"/>
      <w:lvlText w:val="%1　"/>
      <w:lvlJc w:val="start"/>
      <w:pPr>
        <w:tabs>
          <w:tab w:val="num" w:pos="0"/>
        </w:tabs>
        <w:ind w:start="0" w:firstLine="400"/>
      </w:pPr>
    </w:lvl>
  </w:abstractNum>
  <w:abstractNum w:abstractNumId="5">
    <w:lvl w:ilvl="0">
      <w:start w:val="1"/>
      <w:numFmt w:val="decimal"/>
      <w:suff w:val="nothing"/>
      <w:lvlText w:val="%1．"/>
      <w:lvlJc w:val="start"/>
      <w:pPr>
        <w:tabs>
          <w:tab w:val="num" w:pos="0"/>
        </w:tabs>
        <w:ind w:start="0" w:firstLine="400"/>
      </w:pPr>
    </w:lvl>
  </w:abstractNum>
  <w:abstractNum w:abstractNumId="6">
    <w:lvl w:ilvl="0">
      <w:start w:val="1"/>
      <w:numFmt w:val="chineseCountingThousand"/>
      <w:suff w:val="space"/>
      <w:lvlText w:val="第%1条"/>
      <w:lvlJc w:val="start"/>
      <w:pPr>
        <w:tabs>
          <w:tab w:val="num" w:pos="0"/>
        </w:tabs>
        <w:ind w:start="0" w:hanging="0"/>
      </w:pPr>
      <w:rPr>
        <w:b/>
      </w:rPr>
    </w:lvl>
  </w:abstractNum>
  <w:abstractNum w:abstractNumId="7">
    <w:lvl w:ilvl="0">
      <w:start w:val="1"/>
      <w:numFmt w:val="decimalEnclosedCircle"/>
      <w:suff w:val="nothing"/>
      <w:lvlText w:val="%1　"/>
      <w:lvlJc w:val="start"/>
      <w:pPr>
        <w:tabs>
          <w:tab w:val="num" w:pos="0"/>
        </w:tabs>
        <w:ind w:start="1444" w:firstLine="400"/>
      </w:pPr>
      <w:rPr>
        <w:lang w:val="en-US"/>
      </w:rPr>
    </w:lvl>
  </w:abstractNum>
  <w:abstractNum w:abstractNumId="8">
    <w:lvl w:ilvl="0">
      <w:start w:val="1"/>
      <w:numFmt w:val="decimal"/>
      <w:suff w:val="nothing"/>
      <w:lvlText w:val="%1．"/>
      <w:lvlJc w:val="start"/>
      <w:pPr>
        <w:tabs>
          <w:tab w:val="num" w:pos="0"/>
        </w:tabs>
        <w:ind w:start="0" w:firstLine="400"/>
      </w:pPr>
    </w:lvl>
  </w:abstractNum>
  <w:abstractNum w:abstractNumId="9">
    <w:lvl w:ilvl="0">
      <w:start w:val="1"/>
      <w:numFmt w:val="decimal"/>
      <w:suff w:val="nothing"/>
      <w:lvlText w:val="%1．"/>
      <w:lvlJc w:val="start"/>
      <w:pPr>
        <w:tabs>
          <w:tab w:val="num" w:pos="0"/>
        </w:tabs>
        <w:ind w:start="0" w:firstLine="400"/>
      </w:pPr>
    </w:lvl>
  </w:abstractNum>
  <w:abstractNum w:abstractNumId="10">
    <w:lvl w:ilvl="0">
      <w:start w:val="1"/>
      <w:numFmt w:val="decimal"/>
      <w:suff w:val="nothing"/>
      <w:lvlText w:val="%1．"/>
      <w:lvlJc w:val="start"/>
      <w:pPr>
        <w:tabs>
          <w:tab w:val="num" w:pos="0"/>
        </w:tabs>
        <w:ind w:start="0" w:firstLine="400"/>
      </w:pPr>
    </w:lvl>
  </w:abstractNum>
  <w:abstractNum w:abstractNumId="11">
    <w:lvl w:ilvl="0">
      <w:start w:val="1"/>
      <w:numFmt w:val="chineseCountingThousand"/>
      <w:suff w:val="space"/>
      <w:lvlText w:val="第%1条"/>
      <w:lvlJc w:val="start"/>
      <w:pPr>
        <w:tabs>
          <w:tab w:val="num" w:pos="0"/>
        </w:tabs>
        <w:ind w:start="0" w:hanging="0"/>
      </w:pPr>
      <w:rPr>
        <w:b/>
      </w:rPr>
    </w:lvl>
  </w:abstractNum>
  <w:abstractNum w:abstractNumId="12">
    <w:lvl w:ilvl="0">
      <w:start w:val="1"/>
      <w:numFmt w:val="decimal"/>
      <w:suff w:val="nothing"/>
      <w:lvlText w:val="%1．"/>
      <w:lvlJc w:val="start"/>
      <w:pPr>
        <w:tabs>
          <w:tab w:val="num" w:pos="0"/>
        </w:tabs>
        <w:ind w:start="0" w:firstLine="400"/>
      </w:pPr>
    </w:lvl>
  </w:abstractNum>
  <w:abstractNum w:abstractNumId="13">
    <w:lvl w:ilvl="0">
      <w:start w:val="1"/>
      <w:numFmt w:val="decimalEnclosedCircle"/>
      <w:suff w:val="nothing"/>
      <w:lvlText w:val="%1　"/>
      <w:lvlJc w:val="start"/>
      <w:pPr>
        <w:tabs>
          <w:tab w:val="num" w:pos="0"/>
        </w:tabs>
        <w:ind w:start="0" w:firstLine="400"/>
      </w:pPr>
    </w:lvl>
  </w:abstractNum>
  <w:abstractNum w:abstractNumId="14">
    <w:lvl w:ilvl="0">
      <w:start w:val="1"/>
      <w:numFmt w:val="decimal"/>
      <w:suff w:val="nothing"/>
      <w:lvlText w:val="%1．"/>
      <w:lvlJc w:val="start"/>
      <w:pPr>
        <w:tabs>
          <w:tab w:val="num" w:pos="0"/>
        </w:tabs>
        <w:ind w:start="0" w:firstLine="400"/>
      </w:pPr>
    </w:lvl>
  </w:abstractNum>
  <w:abstractNum w:abstractNumId="15">
    <w:lvl w:ilvl="0">
      <w:start w:val="1"/>
      <w:numFmt w:val="decimalEnclosedCircle"/>
      <w:suff w:val="nothing"/>
      <w:lvlText w:val="%1　"/>
      <w:lvlJc w:val="start"/>
      <w:pPr>
        <w:tabs>
          <w:tab w:val="num" w:pos="0"/>
        </w:tabs>
        <w:ind w:start="0" w:firstLine="400"/>
      </w:pPr>
    </w:lvl>
  </w:abstractNum>
  <w:abstractNum w:abstractNumId="16">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6"/>
    <w:lvlOverride w:ilvl="0">
      <w:startOverride w:val="1"/>
    </w:lvlOverride>
  </w:num>
  <w:num w:numId="18">
    <w:abstractNumId w:val="9"/>
    <w:lvlOverride w:ilvl="0">
      <w:startOverride w:val="1"/>
    </w:lvlOverride>
  </w:num>
  <w:num w:numId="19">
    <w:abstractNumId w:val="2"/>
    <w:lvlOverride w:ilvl="0">
      <w:startOverride w:val="1"/>
    </w:lvlOverride>
  </w:num>
  <w:num w:numId="20">
    <w:abstractNumId w:val="7"/>
    <w:lvlOverride w:ilvl="0">
      <w:startOverride w:val="1"/>
    </w:lvlOverride>
  </w:num>
  <w:num w:numId="21">
    <w:abstractNumId w:val="10"/>
    <w:lvlOverride w:ilvl="0">
      <w:startOverride w:val="1"/>
    </w:lvlOverride>
  </w:num>
  <w:num w:numId="22">
    <w:abstractNumId w:val="4"/>
    <w:lvlOverride w:ilvl="0">
      <w:startOverride w:val="1"/>
    </w:lvlOverride>
  </w:num>
  <w:num w:numId="23">
    <w:abstractNumId w:val="3"/>
    <w:lvlOverride w:ilvl="0">
      <w:startOverride w:val="1"/>
    </w:lvlOverride>
  </w:num>
  <w:num w:numId="24">
    <w:abstractNumId w:val="8"/>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5z0">
    <w:name w:val="WW8Num5z0"/>
    <w:qFormat/>
    <w:rPr>
      <w:b/>
    </w:rPr>
  </w:style>
  <w:style w:type="character" w:styleId="WW8Num6z0">
    <w:name w:val="WW8Num6z0"/>
    <w:qFormat/>
    <w:rPr>
      <w:lang w:val="en-US"/>
    </w:rPr>
  </w:style>
  <w:style w:type="character" w:styleId="Style12">
    <w:name w:val="默认段落字体"/>
    <w:qFormat/>
    <w:rPr/>
  </w:style>
  <w:style w:type="character" w:styleId="Style13">
    <w:name w:val="页脚 字符"/>
    <w:qFormat/>
    <w:rPr>
      <w:kern w:val="2"/>
      <w:sz w:val="18"/>
      <w:szCs w:val="18"/>
    </w:rPr>
  </w:style>
  <w:style w:type="character" w:styleId="2Char">
    <w:name w:val="样式2 Char"/>
    <w:qFormat/>
    <w:rPr>
      <w:rFonts w:ascii="黑体" w:hAnsi="黑体" w:eastAsia="黑体"/>
      <w:sz w:val="24"/>
    </w:rPr>
  </w:style>
  <w:style w:type="character" w:styleId="Style14">
    <w:name w:val="页眉 字符"/>
    <w:qFormat/>
    <w:rPr>
      <w:kern w:val="2"/>
      <w:sz w:val="18"/>
      <w:szCs w:val="18"/>
    </w:rPr>
  </w:style>
  <w:style w:type="character" w:styleId="Hyperlink">
    <w:name w:val="Hyperlink"/>
    <w:rPr>
      <w:color w:val="333333"/>
      <w:u w:val="none"/>
    </w:rPr>
  </w:style>
  <w:style w:type="character" w:styleId="Style15">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Style16">
    <w:name w:val="批注框文本"/>
    <w:basedOn w:val="Normal"/>
    <w:qFormat/>
    <w:pPr/>
    <w:rPr>
      <w:rFonts w:ascii="Times New Roman" w:hAnsi="Times New Roman" w:eastAsia="宋体"/>
      <w:sz w:val="18"/>
      <w:szCs w:val="18"/>
    </w:rPr>
  </w:style>
  <w:style w:type="paragraph" w:styleId="Style17">
    <w:name w:val="纯文本"/>
    <w:basedOn w:val="Normal"/>
    <w:qFormat/>
    <w:pPr/>
    <w:rPr>
      <w:rFonts w:ascii="宋体" w:hAnsi="宋体" w:cs="Courier New"/>
      <w:sz w:val="24"/>
      <w:szCs w:val="21"/>
    </w:rPr>
  </w:style>
  <w:style w:type="paragraph" w:styleId="Style18">
    <w:name w:val="普通(网站)"/>
    <w:basedOn w:val="Normal"/>
    <w:qFormat/>
    <w:pPr>
      <w:widowControl/>
      <w:spacing w:before="280" w:after="280"/>
      <w:jc w:val="start"/>
    </w:pPr>
    <w:rPr>
      <w:rFonts w:ascii="宋体" w:hAnsi="宋体" w:eastAsia="宋体" w:cs="宋体"/>
      <w:kern w:val="0"/>
      <w:sz w:val="24"/>
      <w:szCs w:val="24"/>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2022-02-18T17:30:24Z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