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Cs w:val="32"/>
        </w:rPr>
      </w:pPr>
      <w:r>
        <w:rPr>
          <w:rFonts w:eastAsia="仿宋" w:ascii="Times New Roman" w:hAnsi="Times New Roman"/>
          <w:b/>
          <w:sz w:val="28"/>
          <w:szCs w:val="28"/>
        </w:rPr>
        <w:t>JF-2020-080</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w:t>
      </w:r>
    </w:p>
    <w:p>
      <w:pPr>
        <w:pStyle w:val="Normal"/>
        <w:spacing w:lineRule="exact" w:line="560"/>
        <w:ind w:firstLine="560" w:end="0"/>
        <w:rPr>
          <w:rFonts w:ascii="Times New Roman" w:hAnsi="Times New Roman" w:eastAsia="宋体"/>
          <w:sz w:val="28"/>
          <w:szCs w:val="28"/>
        </w:rPr>
      </w:pPr>
      <w:r>
        <w:rPr>
          <w:rFonts w:eastAsia="宋体" w:ascii="Times New Roman" w:hAnsi="Times New Roman"/>
          <w:sz w:val="28"/>
          <w:szCs w:val="28"/>
        </w:rPr>
      </w:r>
    </w:p>
    <w:p>
      <w:pPr>
        <w:pStyle w:val="Normal"/>
        <w:widowControl/>
        <w:snapToGrid w:val="false"/>
        <w:spacing w:lineRule="exact" w:line="560"/>
        <w:ind w:firstLine="800" w:end="0"/>
        <w:jc w:val="center"/>
        <w:rPr>
          <w:rFonts w:ascii="方正小标宋_GBK" w:hAnsi="方正小标宋_GBK" w:eastAsia="方正小标宋_GBK" w:cs="方正小标宋_GBK"/>
          <w:kern w:val="0"/>
          <w:sz w:val="40"/>
          <w:szCs w:val="40"/>
        </w:rPr>
      </w:pPr>
      <w:r>
        <w:rPr>
          <w:rFonts w:ascii="方正小标宋_GBK" w:hAnsi="方正小标宋_GBK" w:cs="方正小标宋_GBK" w:eastAsia="方正小标宋_GBK"/>
          <w:kern w:val="0"/>
          <w:sz w:val="40"/>
          <w:szCs w:val="40"/>
        </w:rPr>
        <w:t>天津市农村土地经营权流转合同</w:t>
      </w:r>
    </w:p>
    <w:p>
      <w:pPr>
        <w:pStyle w:val="Normal"/>
        <w:widowControl/>
        <w:snapToGrid w:val="false"/>
        <w:spacing w:lineRule="exact" w:line="560"/>
        <w:jc w:val="center"/>
        <w:rPr>
          <w:rFonts w:ascii="Times New Roman" w:hAnsi="Times New Roman" w:cs="宋体"/>
          <w:kern w:val="0"/>
          <w:szCs w:val="32"/>
        </w:rPr>
      </w:pPr>
      <w:r>
        <w:rPr>
          <w:rFonts w:ascii="方正楷体_GBK" w:hAnsi="方正楷体_GBK" w:cs="方正楷体_GBK" w:eastAsia="方正楷体_GBK"/>
          <w:kern w:val="0"/>
          <w:sz w:val="28"/>
          <w:szCs w:val="28"/>
        </w:rPr>
        <w:t>（本合同适用于农户流转土地经营权</w:t>
      </w:r>
      <w:r>
        <w:rPr>
          <w:rFonts w:eastAsia="方正楷体_GBK" w:cs="方正楷体_GBK" w:ascii="方正楷体_GBK" w:hAnsi="方正楷体_GBK"/>
          <w:kern w:val="0"/>
          <w:sz w:val="28"/>
          <w:szCs w:val="28"/>
        </w:rPr>
        <w:t>/</w:t>
      </w:r>
      <w:r>
        <w:rPr>
          <w:rFonts w:ascii="方正楷体_GBK" w:hAnsi="方正楷体_GBK" w:cs="方正楷体_GBK" w:eastAsia="方正楷体_GBK"/>
          <w:kern w:val="0"/>
          <w:sz w:val="28"/>
          <w:szCs w:val="28"/>
        </w:rPr>
        <w:t>农户委托村集体经济组织流转土地经营权</w:t>
      </w:r>
      <w:r>
        <w:rPr>
          <w:rFonts w:eastAsia="方正楷体_GBK" w:cs="方正楷体_GBK" w:ascii="方正楷体_GBK" w:hAnsi="方正楷体_GBK"/>
          <w:kern w:val="0"/>
          <w:sz w:val="28"/>
          <w:szCs w:val="28"/>
        </w:rPr>
        <w:t>/</w:t>
      </w:r>
      <w:r>
        <w:rPr>
          <w:rFonts w:ascii="方正楷体_GBK" w:hAnsi="方正楷体_GBK" w:cs="方正楷体_GBK" w:eastAsia="方正楷体_GBK"/>
          <w:kern w:val="0"/>
          <w:sz w:val="28"/>
          <w:szCs w:val="28"/>
        </w:rPr>
        <w:t>村集体经济组织流转机动地、新开垦耕地）</w:t>
      </w:r>
    </w:p>
    <w:p>
      <w:pPr>
        <w:pStyle w:val="Normal"/>
        <w:widowControl/>
        <w:spacing w:lineRule="exact" w:line="560"/>
        <w:ind w:firstLine="640" w:end="0"/>
        <w:rPr>
          <w:rFonts w:ascii="Times New Roman" w:hAnsi="Times New Roman" w:cs="宋体"/>
          <w:kern w:val="0"/>
          <w:szCs w:val="32"/>
        </w:rPr>
      </w:pPr>
      <w:r>
        <w:rPr>
          <w:rFonts w:cs="宋体" w:ascii="Times New Roman" w:hAnsi="Times New Roman"/>
          <w:kern w:val="0"/>
          <w:szCs w:val="32"/>
        </w:rPr>
      </w:r>
    </w:p>
    <w:p>
      <w:pPr>
        <w:pStyle w:val="Normal"/>
        <w:keepNext w:val="false"/>
        <w:keepLines w:val="false"/>
        <w:pageBreakBefore w:val="false"/>
        <w:kinsoku w:val="fals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出租人</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以下简称甲方</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w:t>
      </w:r>
      <w:r>
        <w:rPr>
          <w:rFonts w:eastAsia="方正书宋_GBK" w:cs="方正书宋_GBK" w:ascii="方正书宋_GBK" w:hAnsi="方正书宋_GBK"/>
          <w:sz w:val="22"/>
          <w:szCs w:val="22"/>
        </w:rPr>
        <w:t>________________________________</w:t>
      </w:r>
    </w:p>
    <w:p>
      <w:pPr>
        <w:pStyle w:val="Normal"/>
        <w:keepNext w:val="false"/>
        <w:keepLines w:val="false"/>
        <w:pageBreakBefore w:val="false"/>
        <w:kinsoku w:val="fals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承租人</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以下简称乙方</w:t>
      </w:r>
      <w:r>
        <w:rPr>
          <w:rFonts w:eastAsia="方正书宋_GBK" w:cs="方正书宋_GBK" w:ascii="方正书宋_GBK" w:hAnsi="方正书宋_GBK"/>
          <w:b/>
          <w:sz w:val="22"/>
          <w:szCs w:val="22"/>
        </w:rPr>
        <w:t>)</w:t>
      </w:r>
      <w:r>
        <w:rPr>
          <w:rFonts w:ascii="方正书宋_GBK" w:hAnsi="方正书宋_GBK" w:cs="方正书宋_GBK" w:eastAsia="方正书宋_GBK"/>
          <w:b/>
          <w:sz w:val="22"/>
          <w:szCs w:val="22"/>
        </w:rPr>
        <w:t>：</w:t>
      </w:r>
      <w:r>
        <w:rPr>
          <w:rFonts w:eastAsia="方正书宋_GBK" w:cs="方正书宋_GBK" w:ascii="方正书宋_GBK" w:hAnsi="方正书宋_GBK"/>
          <w:sz w:val="22"/>
          <w:szCs w:val="22"/>
        </w:rPr>
        <w:t>________________________________</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根据《中华人民共和国合同法》、《中华人民共和国物权法》、《中华人民共和国农村土地承包法》、《中华人民共和国农村土地承包经营纠纷调解仲裁法》等法律、法规和国家有关政策的规定，本着平等、自愿、公平、诚信的原则，经甲乙双方协商一致，订立本合同。 </w:t>
      </w:r>
    </w:p>
    <w:p>
      <w:pPr>
        <w:pStyle w:val="Normal"/>
        <w:keepNext w:val="false"/>
        <w:keepLines w:val="false"/>
        <w:pageBreakBefore w:val="false"/>
        <w:numPr>
          <w:ilvl w:val="0"/>
          <w:numId w:val="23"/>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流转土地经营权基本情况、流转方式与用途</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甲方（或受</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等</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户农户的委托）将</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亩承包土地（机动地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新开垦耕地）（详见流转土地经营权基本情况表），通过</w:t>
      </w:r>
      <w:r>
        <w:rPr>
          <w:rFonts w:eastAsia="方正书宋_GBK" w:cs="方正书宋_GBK" w:ascii="方正书宋_GBK" w:hAnsi="方正书宋_GBK"/>
          <w:sz w:val="22"/>
          <w:szCs w:val="22"/>
        </w:rPr>
        <w:t>_________</w:t>
      </w:r>
      <w:r>
        <w:rPr>
          <w:rFonts w:ascii="方正书宋_GBK" w:hAnsi="方正书宋_GBK" w:cs="方正书宋_GBK" w:eastAsia="方正书宋_GBK"/>
          <w:sz w:val="22"/>
          <w:szCs w:val="22"/>
        </w:rPr>
        <w:t>（自行</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农村产权流转交易市场。</w:t>
      </w:r>
      <w:r>
        <w:rPr>
          <w:rFonts w:ascii="方正书宋_GBK" w:hAnsi="方正书宋_GBK" w:cs="方正书宋_GBK" w:eastAsia="方正书宋_GBK"/>
          <w:b/>
          <w:sz w:val="22"/>
          <w:szCs w:val="22"/>
        </w:rPr>
        <w:t>注：农户流转</w:t>
      </w:r>
      <w:r>
        <w:rPr>
          <w:rFonts w:ascii="方正书宋_GBK" w:hAnsi="方正书宋_GBK" w:cs="方正书宋_GBK" w:eastAsia="方正书宋_GBK"/>
          <w:b/>
          <w:kern w:val="0"/>
          <w:sz w:val="22"/>
          <w:szCs w:val="22"/>
        </w:rPr>
        <w:t>土地经营权可自行流转，也可通过农村产权流转交易市场流转；农户委托村集体经济组织流转土地经营权或村集体经济组织流转机动地、新开垦耕地应通过农村产权流转交易市场流转</w:t>
      </w:r>
      <w:r>
        <w:rPr>
          <w:rFonts w:ascii="方正书宋_GBK" w:hAnsi="方正书宋_GBK" w:cs="方正书宋_GBK" w:eastAsia="方正书宋_GBK"/>
          <w:sz w:val="22"/>
          <w:szCs w:val="22"/>
        </w:rPr>
        <w:t>）以</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（出租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入股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其他）方式流转给乙方，从事</w:t>
      </w:r>
      <w:r>
        <w:rPr>
          <w:rFonts w:eastAsia="方正书宋_GBK" w:cs="方正书宋_GBK" w:ascii="方正书宋_GBK" w:hAnsi="方正书宋_GBK"/>
          <w:sz w:val="22"/>
          <w:szCs w:val="22"/>
        </w:rPr>
        <w:t>__________</w:t>
      </w:r>
      <w:r>
        <w:rPr>
          <w:rFonts w:ascii="方正书宋_GBK" w:hAnsi="方正书宋_GBK" w:cs="方正书宋_GBK" w:eastAsia="方正书宋_GBK"/>
          <w:sz w:val="22"/>
          <w:szCs w:val="22"/>
        </w:rPr>
        <w:t>生产经营。</w:t>
      </w:r>
    </w:p>
    <w:p>
      <w:pPr>
        <w:pStyle w:val="Normal"/>
        <w:keepNext w:val="false"/>
        <w:keepLines w:val="false"/>
        <w:pageBreakBefore w:val="false"/>
        <w:numPr>
          <w:ilvl w:val="0"/>
          <w:numId w:val="14"/>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流转期限和交付时间</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土地经营权流转期限为</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年，自</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日起至</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w:t>
      </w:r>
      <w:r>
        <w:rPr>
          <w:rFonts w:ascii="方正书宋_GBK" w:hAnsi="方正书宋_GBK" w:cs="方正书宋_GBK" w:eastAsia="方正书宋_GBK"/>
          <w:b/>
          <w:sz w:val="22"/>
          <w:szCs w:val="22"/>
        </w:rPr>
        <w:t>（最长不得超过我市二轮土地承包期到期日</w:t>
      </w:r>
      <w:r>
        <w:rPr>
          <w:rFonts w:eastAsia="方正书宋_GBK" w:cs="方正书宋_GBK" w:ascii="方正书宋_GBK" w:hAnsi="方正书宋_GBK"/>
          <w:b/>
          <w:sz w:val="22"/>
          <w:szCs w:val="22"/>
        </w:rPr>
        <w:t>2027</w:t>
      </w:r>
      <w:r>
        <w:rPr>
          <w:rFonts w:ascii="方正书宋_GBK" w:hAnsi="方正书宋_GBK" w:cs="方正书宋_GBK" w:eastAsia="方正书宋_GBK"/>
          <w:b/>
          <w:sz w:val="22"/>
          <w:szCs w:val="22"/>
        </w:rPr>
        <w:t>年</w:t>
      </w:r>
      <w:r>
        <w:rPr>
          <w:rFonts w:eastAsia="方正书宋_GBK" w:cs="方正书宋_GBK" w:ascii="方正书宋_GBK" w:hAnsi="方正书宋_GBK"/>
          <w:b/>
          <w:sz w:val="22"/>
          <w:szCs w:val="22"/>
        </w:rPr>
        <w:t>12</w:t>
      </w:r>
      <w:r>
        <w:rPr>
          <w:rFonts w:ascii="方正书宋_GBK" w:hAnsi="方正书宋_GBK" w:cs="方正书宋_GBK" w:eastAsia="方正书宋_GBK"/>
          <w:b/>
          <w:sz w:val="22"/>
          <w:szCs w:val="22"/>
        </w:rPr>
        <w:t>月</w:t>
      </w:r>
      <w:r>
        <w:rPr>
          <w:rFonts w:eastAsia="方正书宋_GBK" w:cs="方正书宋_GBK" w:ascii="方正书宋_GBK" w:hAnsi="方正书宋_GBK"/>
          <w:b/>
          <w:sz w:val="22"/>
          <w:szCs w:val="22"/>
        </w:rPr>
        <w:t>31</w:t>
      </w:r>
      <w:r>
        <w:rPr>
          <w:rFonts w:ascii="方正书宋_GBK" w:hAnsi="方正书宋_GBK" w:cs="方正书宋_GBK" w:eastAsia="方正书宋_GBK"/>
          <w:b/>
          <w:sz w:val="22"/>
          <w:szCs w:val="22"/>
        </w:rPr>
        <w:t>日）</w:t>
      </w:r>
      <w:r>
        <w:rPr>
          <w:rFonts w:ascii="方正书宋_GBK" w:hAnsi="方正书宋_GBK" w:cs="方正书宋_GBK" w:eastAsia="方正书宋_GBK"/>
          <w:sz w:val="22"/>
          <w:szCs w:val="22"/>
        </w:rPr>
        <w:t>止。</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甲方应于</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日之前将流转土地交付乙方。法律或行政法规要求流转土地经营权备案的，甲乙双方应于</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日前提交备案材料。</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流转价款与支付方式</w:t>
      </w:r>
    </w:p>
    <w:p>
      <w:pPr>
        <w:pStyle w:val="Normal"/>
        <w:keepNext w:val="false"/>
        <w:keepLines w:val="false"/>
        <w:pageBreakBefore w:val="fals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A.</w:t>
      </w:r>
      <w:r>
        <w:rPr>
          <w:rFonts w:ascii="方正书宋_GBK" w:hAnsi="方正书宋_GBK" w:cs="方正书宋_GBK" w:eastAsia="方正书宋_GBK"/>
          <w:b/>
          <w:sz w:val="22"/>
          <w:szCs w:val="22"/>
        </w:rPr>
        <w:t>若采取出租（转包）或其他方式流转土地经营权，流转价款按下列第</w:t>
      </w:r>
      <w:r>
        <w:rPr>
          <w:rFonts w:ascii="方正书宋_GBK" w:hAnsi="方正书宋_GBK" w:cs="方正书宋_GBK" w:eastAsia="方正书宋_GBK"/>
          <w:b/>
          <w:sz w:val="22"/>
          <w:szCs w:val="22"/>
          <w:u w:val="single"/>
        </w:rPr>
        <w:t xml:space="preserve">    </w:t>
      </w:r>
      <w:r>
        <w:rPr>
          <w:rFonts w:ascii="方正书宋_GBK" w:hAnsi="方正书宋_GBK" w:cs="方正书宋_GBK" w:eastAsia="方正书宋_GBK"/>
          <w:b/>
          <w:sz w:val="22"/>
          <w:szCs w:val="22"/>
        </w:rPr>
        <w:t>种方式支付：</w:t>
      </w:r>
    </w:p>
    <w:p>
      <w:pPr>
        <w:pStyle w:val="Normal"/>
        <w:keepNext w:val="false"/>
        <w:keepLines w:val="false"/>
        <w:pageBreakBefore w:val="false"/>
        <w:numPr>
          <w:ilvl w:val="0"/>
          <w:numId w:val="24"/>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实物折合流转费用结算方式。乙方须于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前一）年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日前按每亩</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稻谷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其他实物等）的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（市场价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当地政府收购指导价）为标准，折合成货币向甲方支付当年流转费用。</w:t>
      </w:r>
    </w:p>
    <w:p>
      <w:pPr>
        <w:pStyle w:val="Normal"/>
        <w:keepNext w:val="false"/>
        <w:keepLines w:val="false"/>
        <w:pageBreakBefore w:val="false"/>
        <w:numPr>
          <w:ilvl w:val="0"/>
          <w:numId w:val="1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货币分期支付方式。流转费用按照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亩标准计算，合计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年。乙方须于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前一）年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日前支付当年流转费用。</w:t>
      </w:r>
    </w:p>
    <w:p>
      <w:pPr>
        <w:pStyle w:val="Normal"/>
        <w:keepNext w:val="false"/>
        <w:keepLines w:val="false"/>
        <w:pageBreakBefore w:val="false"/>
        <w:numPr>
          <w:ilvl w:val="0"/>
          <w:numId w:val="0"/>
        </w:numPr>
        <w:overflowPunct w:val="true"/>
        <w:autoSpaceDE w:val="true"/>
        <w:bidi w:val="0"/>
        <w:snapToGrid w:val="false"/>
        <w:spacing w:lineRule="exact" w:line="420"/>
        <w:ind w:firstLine="44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（或：第一次支付：乙方于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__________</w:t>
      </w:r>
      <w:r>
        <w:rPr>
          <w:rFonts w:ascii="方正书宋_GBK" w:hAnsi="方正书宋_GBK" w:cs="方正书宋_GBK" w:eastAsia="方正书宋_GBK"/>
          <w:sz w:val="22"/>
          <w:szCs w:val="22"/>
        </w:rPr>
        <w:t>；</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第三次支付：乙方于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日前支付给甲方</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w:t>
      </w:r>
    </w:p>
    <w:p>
      <w:pPr>
        <w:pStyle w:val="Normal"/>
        <w:keepNext w:val="false"/>
        <w:keepLines w:val="false"/>
        <w:pageBreakBefore w:val="false"/>
        <w:numPr>
          <w:ilvl w:val="0"/>
          <w:numId w:val="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货币一次性付款方式。流转费用按</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亩</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年计算，共计</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元。乙方须于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日前支付全部流转费用。</w:t>
      </w:r>
    </w:p>
    <w:p>
      <w:pPr>
        <w:pStyle w:val="Normal"/>
        <w:keepNext w:val="false"/>
        <w:keepLines w:val="false"/>
        <w:pageBreakBefore w:val="false"/>
        <w:numPr>
          <w:ilvl w:val="0"/>
          <w:numId w:val="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其他支付方式：</w:t>
      </w:r>
      <w:r>
        <w:rPr>
          <w:rFonts w:eastAsia="方正书宋_GBK" w:cs="方正书宋_GBK" w:ascii="方正书宋_GBK" w:hAnsi="方正书宋_GBK"/>
          <w:sz w:val="22"/>
          <w:szCs w:val="22"/>
        </w:rPr>
        <w:t>__________________________________</w:t>
      </w:r>
      <w:r>
        <w:rPr>
          <w:rFonts w:ascii="方正书宋_GBK" w:hAnsi="方正书宋_GBK" w:cs="方正书宋_GBK" w:eastAsia="方正书宋_GBK"/>
          <w:sz w:val="22"/>
          <w:szCs w:val="22"/>
        </w:rPr>
        <w:t xml:space="preserve">。 </w:t>
      </w:r>
    </w:p>
    <w:p>
      <w:pPr>
        <w:pStyle w:val="Normal"/>
        <w:keepNext w:val="false"/>
        <w:keepLines w:val="false"/>
        <w:pageBreakBefore w:val="false"/>
        <w:numPr>
          <w:ilvl w:val="0"/>
          <w:numId w:val="5"/>
        </w:numPr>
        <w:overflowPunct w:val="true"/>
        <w:autoSpaceDE w:val="true"/>
        <w:bidi w:val="0"/>
        <w:snapToGrid w:val="false"/>
        <w:spacing w:lineRule="exact" w:line="420"/>
        <w:ind w:firstLine="440" w:start="0" w:end="0"/>
        <w:textAlignment w:val="auto"/>
        <w:outlineLvl w:val="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流转费用变动：</w:t>
      </w:r>
      <w:r>
        <w:rPr>
          <w:rFonts w:eastAsia="方正书宋_GBK" w:cs="方正书宋_GBK" w:ascii="方正书宋_GBK" w:hAnsi="方正书宋_GBK"/>
          <w:sz w:val="22"/>
          <w:szCs w:val="22"/>
        </w:rPr>
        <w:t>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t>B.</w:t>
      </w:r>
      <w:r>
        <w:rPr>
          <w:rFonts w:ascii="方正书宋_GBK" w:hAnsi="方正书宋_GBK" w:cs="方正书宋_GBK" w:eastAsia="方正书宋_GBK"/>
          <w:b/>
          <w:sz w:val="22"/>
          <w:szCs w:val="22"/>
        </w:rPr>
        <w:t>若采取入股方式流转土地经营权，则按下列第</w:t>
      </w:r>
      <w:r>
        <w:rPr>
          <w:rFonts w:eastAsia="方正书宋_GBK" w:cs="方正书宋_GBK" w:ascii="方正书宋_GBK" w:hAnsi="方正书宋_GBK"/>
          <w:b/>
          <w:sz w:val="22"/>
          <w:szCs w:val="22"/>
        </w:rPr>
        <w:t>__</w:t>
      </w:r>
      <w:r>
        <w:rPr>
          <w:rFonts w:ascii="方正书宋_GBK" w:hAnsi="方正书宋_GBK" w:cs="方正书宋_GBK" w:eastAsia="方正书宋_GBK"/>
          <w:b/>
          <w:sz w:val="22"/>
          <w:szCs w:val="22"/>
        </w:rPr>
        <w:t>种方式分配股份红利：</w:t>
      </w:r>
    </w:p>
    <w:p>
      <w:pPr>
        <w:pStyle w:val="Normal"/>
        <w:keepNext w:val="false"/>
        <w:keepLines w:val="false"/>
        <w:pageBreakBefore w:val="false"/>
        <w:numPr>
          <w:ilvl w:val="0"/>
          <w:numId w:val="25"/>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保底分红，以实物折合现金方式支付：按照每亩每年保底分配</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公斤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（小麦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稻谷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其他实物等）的标准，以</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（当年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上年）</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（市场价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当地政府收购指导价）折合现金支付。保底分配后如有盈余部分按</w:t>
      </w:r>
      <w:r>
        <w:rPr>
          <w:rFonts w:eastAsia="方正书宋_GBK" w:cs="方正书宋_GBK" w:ascii="方正书宋_GBK" w:hAnsi="方正书宋_GBK"/>
          <w:sz w:val="22"/>
          <w:szCs w:val="22"/>
        </w:rPr>
        <w:t>_____________</w:t>
      </w:r>
      <w:r>
        <w:rPr>
          <w:rFonts w:ascii="方正书宋_GBK" w:hAnsi="方正书宋_GBK" w:cs="方正书宋_GBK" w:eastAsia="方正书宋_GBK"/>
          <w:sz w:val="22"/>
          <w:szCs w:val="22"/>
        </w:rPr>
        <w:t>比例分配现金。</w:t>
      </w:r>
    </w:p>
    <w:p>
      <w:pPr>
        <w:pStyle w:val="Normal"/>
        <w:keepNext w:val="false"/>
        <w:keepLines w:val="false"/>
        <w:pageBreakBefore w:val="false"/>
        <w:numPr>
          <w:ilvl w:val="0"/>
          <w:numId w:val="1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保底分红，以现金方式支付：第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个生产年度乙方按照每亩</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元（大写：</w:t>
      </w:r>
      <w:r>
        <w:rPr>
          <w:rFonts w:eastAsia="方正书宋_GBK" w:cs="方正书宋_GBK" w:ascii="方正书宋_GBK" w:hAnsi="方正书宋_GBK"/>
          <w:sz w:val="22"/>
          <w:szCs w:val="22"/>
        </w:rPr>
        <w:t>______________</w:t>
      </w:r>
      <w:r>
        <w:rPr>
          <w:rFonts w:ascii="方正书宋_GBK" w:hAnsi="方正书宋_GBK" w:cs="方正书宋_GBK" w:eastAsia="方正书宋_GBK"/>
          <w:sz w:val="22"/>
          <w:szCs w:val="22"/>
        </w:rPr>
        <w:t>）的标准给予甲方保底分配。以后每年由乙方召开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大会讨论决定保底分配标准。保底分配后如有盈余部分按以下比例分配现金：</w:t>
      </w:r>
      <w:r>
        <w:rPr>
          <w:rFonts w:eastAsia="方正书宋_GBK" w:cs="方正书宋_GBK" w:ascii="方正书宋_GBK" w:hAnsi="方正书宋_GBK"/>
          <w:sz w:val="22"/>
          <w:szCs w:val="22"/>
        </w:rPr>
        <w:t>__________________</w:t>
      </w:r>
      <w:r>
        <w:rPr>
          <w:rFonts w:ascii="方正书宋_GBK" w:hAnsi="方正书宋_GBK" w:cs="方正书宋_GBK" w:eastAsia="方正书宋_GBK"/>
          <w:sz w:val="22"/>
          <w:szCs w:val="22"/>
        </w:rPr>
        <w:t>。</w:t>
      </w:r>
    </w:p>
    <w:p>
      <w:pPr>
        <w:pStyle w:val="Normal"/>
        <w:keepNext w:val="false"/>
        <w:keepLines w:val="false"/>
        <w:pageBreakBefore w:val="false"/>
        <w:numPr>
          <w:ilvl w:val="0"/>
          <w:numId w:val="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不保底分红。具体方式为：</w:t>
      </w:r>
      <w:r>
        <w:rPr>
          <w:rFonts w:eastAsia="方正书宋_GBK" w:cs="方正书宋_GBK" w:ascii="方正书宋_GBK" w:hAnsi="方正书宋_GBK"/>
          <w:sz w:val="22"/>
          <w:szCs w:val="22"/>
        </w:rPr>
        <w:t>________________________</w:t>
      </w:r>
      <w:r>
        <w:rPr>
          <w:rFonts w:ascii="方正书宋_GBK" w:hAnsi="方正书宋_GBK" w:cs="方正书宋_GBK" w:eastAsia="方正书宋_GBK"/>
          <w:sz w:val="22"/>
          <w:szCs w:val="22"/>
        </w:rPr>
        <w:t>。</w:t>
      </w:r>
    </w:p>
    <w:p>
      <w:pPr>
        <w:pStyle w:val="Normal"/>
        <w:keepNext w:val="false"/>
        <w:keepLines w:val="false"/>
        <w:pageBreakBefore w:val="false"/>
        <w:numPr>
          <w:ilvl w:val="0"/>
          <w:numId w:val="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分红支付时间：乙方于每年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日之前向甲方支付保底分配部分；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次）年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日之前支付盈余分配部分。</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甲方的权利和义务</w:t>
      </w:r>
    </w:p>
    <w:p>
      <w:pPr>
        <w:pStyle w:val="Normal"/>
        <w:keepNext w:val="false"/>
        <w:keepLines w:val="false"/>
        <w:pageBreakBefore w:val="false"/>
        <w:numPr>
          <w:ilvl w:val="0"/>
          <w:numId w:val="2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甲方的权利</w:t>
      </w:r>
    </w:p>
    <w:p>
      <w:pPr>
        <w:pStyle w:val="Normal"/>
        <w:keepNext w:val="false"/>
        <w:keepLines w:val="false"/>
        <w:pageBreakBefore w:val="false"/>
        <w:numPr>
          <w:ilvl w:val="0"/>
          <w:numId w:val="27"/>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有权监督乙方按合同约定依法利用和保护该流转土地；</w:t>
      </w:r>
    </w:p>
    <w:p>
      <w:pPr>
        <w:pStyle w:val="Normal"/>
        <w:keepNext w:val="false"/>
        <w:keepLines w:val="false"/>
        <w:pageBreakBefore w:val="false"/>
        <w:numPr>
          <w:ilvl w:val="0"/>
          <w:numId w:val="1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有权在本合同到期后收回该流转土地；</w:t>
      </w:r>
    </w:p>
    <w:p>
      <w:pPr>
        <w:pStyle w:val="Normal"/>
        <w:keepNext w:val="false"/>
        <w:keepLines w:val="false"/>
        <w:pageBreakBefore w:val="false"/>
        <w:numPr>
          <w:ilvl w:val="0"/>
          <w:numId w:val="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该流转土地被依法征收、征用、占用的，有权获得</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乙方无正当理由未支付或者延迟支付流转价款的，甲方可以要求乙方在合理期限内支付。经催告后，在合理期限内乙方仍未支付的，甲方可以解除合同。</w:t>
      </w:r>
    </w:p>
    <w:p>
      <w:pPr>
        <w:pStyle w:val="Normal"/>
        <w:keepNext w:val="false"/>
        <w:keepLines w:val="false"/>
        <w:pageBreakBefore w:val="false"/>
        <w:numPr>
          <w:ilvl w:val="0"/>
          <w:numId w:val="17"/>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甲方的义务</w:t>
      </w:r>
    </w:p>
    <w:p>
      <w:pPr>
        <w:pStyle w:val="Normal"/>
        <w:keepNext w:val="false"/>
        <w:keepLines w:val="false"/>
        <w:pageBreakBefore w:val="false"/>
        <w:numPr>
          <w:ilvl w:val="0"/>
          <w:numId w:val="28"/>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按时交付约定流转的土地；</w:t>
      </w:r>
    </w:p>
    <w:p>
      <w:pPr>
        <w:pStyle w:val="Normal"/>
        <w:keepNext w:val="false"/>
        <w:keepLines w:val="false"/>
        <w:pageBreakBefore w:val="false"/>
        <w:numPr>
          <w:ilvl w:val="0"/>
          <w:numId w:val="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确认该流转土地权属合法、清晰，无任何与该流转土地有关的权属纠纷和经济纠纷；</w:t>
      </w:r>
    </w:p>
    <w:p>
      <w:pPr>
        <w:pStyle w:val="Normal"/>
        <w:keepNext w:val="false"/>
        <w:keepLines w:val="false"/>
        <w:pageBreakBefore w:val="false"/>
        <w:numPr>
          <w:ilvl w:val="0"/>
          <w:numId w:val="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协助乙方处理涉及该流转土地的用路、用水、用电等纠纷；</w:t>
      </w:r>
    </w:p>
    <w:p>
      <w:pPr>
        <w:pStyle w:val="Normal"/>
        <w:keepNext w:val="false"/>
        <w:keepLines w:val="false"/>
        <w:pageBreakBefore w:val="false"/>
        <w:numPr>
          <w:ilvl w:val="0"/>
          <w:numId w:val="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不得干涉和妨碍乙方依法进行的正常生产经营活动。</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乙方的权利和义务</w:t>
      </w:r>
    </w:p>
    <w:p>
      <w:pPr>
        <w:pStyle w:val="Normal"/>
        <w:keepNext w:val="false"/>
        <w:keepLines w:val="false"/>
        <w:pageBreakBefore w:val="false"/>
        <w:numPr>
          <w:ilvl w:val="0"/>
          <w:numId w:val="2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乙方的权利</w:t>
      </w:r>
    </w:p>
    <w:p>
      <w:pPr>
        <w:pStyle w:val="Normal"/>
        <w:keepNext w:val="false"/>
        <w:keepLines w:val="false"/>
        <w:pageBreakBefore w:val="false"/>
        <w:numPr>
          <w:ilvl w:val="0"/>
          <w:numId w:val="30"/>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有权要求甲方按合同约定交付该流转土地，并依法自主经营、处置产品、获得收益；</w:t>
      </w:r>
    </w:p>
    <w:p>
      <w:pPr>
        <w:pStyle w:val="Normal"/>
        <w:keepNext w:val="false"/>
        <w:keepLines w:val="false"/>
        <w:pageBreakBefore w:val="false"/>
        <w:numPr>
          <w:ilvl w:val="0"/>
          <w:numId w:val="20"/>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有权利用该流转土地上已有的开展农业生产所必需的水系、道路、构筑物等设施；</w:t>
      </w:r>
    </w:p>
    <w:p>
      <w:pPr>
        <w:pStyle w:val="Normal"/>
        <w:keepNext w:val="false"/>
        <w:keepLines w:val="false"/>
        <w:pageBreakBefore w:val="false"/>
        <w:numPr>
          <w:ilvl w:val="0"/>
          <w:numId w:val="4"/>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合同到期后，有权在同等条件下优先续约；</w:t>
      </w:r>
    </w:p>
    <w:p>
      <w:pPr>
        <w:pStyle w:val="Normal"/>
        <w:keepNext w:val="false"/>
        <w:keepLines w:val="false"/>
        <w:pageBreakBefore w:val="fals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该流转土地被依法征收、征用、占用的，乙方应服从，但有权获得</w:t>
      </w:r>
      <w:r>
        <w:rPr>
          <w:rFonts w:eastAsia="方正书宋_GBK" w:cs="方正书宋_GBK" w:ascii="方正书宋_GBK" w:hAnsi="方正书宋_GBK"/>
          <w:sz w:val="22"/>
          <w:szCs w:val="22"/>
        </w:rPr>
        <w:t>_________________</w:t>
      </w:r>
      <w:r>
        <w:rPr>
          <w:rFonts w:ascii="方正书宋_GBK" w:hAnsi="方正书宋_GBK" w:cs="方正书宋_GBK" w:eastAsia="方正书宋_GBK"/>
          <w:sz w:val="22"/>
          <w:szCs w:val="22"/>
        </w:rPr>
        <w:t>补偿。</w:t>
      </w:r>
    </w:p>
    <w:p>
      <w:pPr>
        <w:pStyle w:val="Normal"/>
        <w:keepNext w:val="false"/>
        <w:keepLines w:val="false"/>
        <w:pageBreakBefore w:val="false"/>
        <w:numPr>
          <w:ilvl w:val="0"/>
          <w:numId w:val="19"/>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乙方的义务</w:t>
      </w:r>
    </w:p>
    <w:p>
      <w:pPr>
        <w:pStyle w:val="Normal"/>
        <w:keepNext w:val="false"/>
        <w:keepLines w:val="false"/>
        <w:pageBreakBefore w:val="false"/>
        <w:numPr>
          <w:ilvl w:val="0"/>
          <w:numId w:val="31"/>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按合同约定及时接收该流转土地并向甲方足额支付流转费用；</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本合同到期，应提前一个月告知甲方是否继续流转。不继续流转的，应于合同到期日交回该流转土地；</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配合做好土地经营权流转审查备案工作；</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负责地上设施的维护和维修，合同到期后完整交付；</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为提高土地生产能力而进行设施改建，应征得甲方同意，需报有关部门批准的，按照相关规定办理；</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妥善管理该流转土地上未列入合同的水系、道路、构筑物等设施，如需使用或变动，须征得甲方和发包方同意；</w:t>
      </w:r>
    </w:p>
    <w:p>
      <w:pPr>
        <w:pStyle w:val="Normal"/>
        <w:keepNext w:val="false"/>
        <w:keepLines w:val="false"/>
        <w:pageBreakBefore w:val="false"/>
        <w:numPr>
          <w:ilvl w:val="0"/>
          <w:numId w:val="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在法律法规政策和合同约定允许范围内保护和合理利用流转土地，不得破坏农业综合生产能力和农业生态环境，不得撂荒土地、不得用于非农建设、不得擅自改变土地用途、不得给土地造成永久性损害。</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交付时和合同到期后地上附着物及相关设施的处理</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签订本合同并交付土地时，地上附着物及相关设施有：</w:t>
      </w:r>
      <w:r>
        <w:rPr>
          <w:rFonts w:eastAsia="方正书宋_GBK" w:cs="方正书宋_GBK" w:ascii="方正书宋_GBK" w:hAnsi="方正书宋_GBK"/>
          <w:sz w:val="22"/>
          <w:szCs w:val="22"/>
        </w:rPr>
        <w:t>______________________________________________________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合同到期时，由国家或地方财政直接补助形成的财产按国家和天津市有关规定处理。</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乙方经营期间利用除财政补助外的资金构建的地上附着物及相关设备设施按下列方式处理：</w:t>
      </w:r>
      <w:r>
        <w:rPr>
          <w:rFonts w:eastAsia="方正书宋_GBK" w:cs="方正书宋_GBK" w:ascii="方正书宋_GBK" w:hAnsi="方正书宋_GBK"/>
          <w:sz w:val="22"/>
          <w:szCs w:val="22"/>
        </w:rPr>
        <w:t>_____________________________________________________________________________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合同到期土地恢复原状等事项的处理：</w:t>
      </w:r>
      <w:r>
        <w:rPr>
          <w:rFonts w:eastAsia="方正书宋_GBK" w:cs="方正书宋_GBK" w:ascii="方正书宋_GBK" w:hAnsi="方正书宋_GBK"/>
          <w:sz w:val="22"/>
          <w:szCs w:val="22"/>
        </w:rPr>
        <w:t>______________________________________________________________________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合同变更或解除</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经协商一致，甲乙双方可对本合同进行变更或解除。</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当事人一方中途变更或解除合同的，应提前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日书面通知对方。</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合同有效期内，因不可抗力导致合同无法继续履行的，当事人可以解除合同；双方应按合同解除日期，结清合同履行期间相关费用。</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当事人一方违约导致合同无法履行的，另一方可以解除合同。</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违约责任</w:t>
      </w:r>
    </w:p>
    <w:p>
      <w:pPr>
        <w:pStyle w:val="Normal"/>
        <w:keepNext w:val="false"/>
        <w:keepLines w:val="false"/>
        <w:pageBreakBefore w:val="false"/>
        <w:numPr>
          <w:ilvl w:val="0"/>
          <w:numId w:val="3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因一方当事人变更或解除合同使另一方遭受损失的，除依法可免除责任的情形外，应向守约方支付违约金 ＿＿＿＿＿元。如果违约金不足以弥补守约方经济损失，违约方应据实赔偿。</w:t>
      </w:r>
    </w:p>
    <w:p>
      <w:pPr>
        <w:pStyle w:val="Normal"/>
        <w:keepNext w:val="false"/>
        <w:keepLines w:val="false"/>
        <w:pageBreakBefore w:val="false"/>
        <w:numPr>
          <w:ilvl w:val="0"/>
          <w:numId w:val="21"/>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甲方逾期交付流转土地，每延迟一天，按流转费用的</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承担违约金。</w:t>
      </w:r>
    </w:p>
    <w:p>
      <w:pPr>
        <w:pStyle w:val="Normal"/>
        <w:keepNext w:val="false"/>
        <w:keepLines w:val="false"/>
        <w:pageBreakBefore w:val="false"/>
        <w:numPr>
          <w:ilvl w:val="0"/>
          <w:numId w:val="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乙方逾期支付流转费用，每延迟一天，按应支付费用的</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承担违约金。</w:t>
      </w:r>
    </w:p>
    <w:p>
      <w:pPr>
        <w:pStyle w:val="Normal"/>
        <w:keepNext w:val="false"/>
        <w:keepLines w:val="false"/>
        <w:pageBreakBefore w:val="false"/>
        <w:numPr>
          <w:ilvl w:val="0"/>
          <w:numId w:val="6"/>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甲方非法干预乙方生产经营活动，给乙方造成损失的，应予以赔偿。</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纠纷解决方式</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协商解决，也可以采取调解解决。若农户流转土地经营权，可以请求村民委员会（村集体经济组织）、镇（乡、街）人民政府调解；若农户委托村集体经济组织流转土地经营权或村集体经济组织流转机动地、新开垦耕地，可以请求镇（乡、街）人民政府调解。当事人不愿协商、调解或者协商、调解不成的，可以向农村土地承包仲裁机构申请仲裁，也可以直接向人民法院起诉。</w:t>
      </w:r>
    </w:p>
    <w:p>
      <w:pPr>
        <w:pStyle w:val="Normal"/>
        <w:keepNext w:val="false"/>
        <w:keepLines w:val="false"/>
        <w:pageBreakBefore w:val="false"/>
        <w:numPr>
          <w:ilvl w:val="0"/>
          <w:numId w:val="7"/>
        </w:numPr>
        <w:overflowPunct w:val="true"/>
        <w:autoSpaceDE w:val="true"/>
        <w:bidi w:val="0"/>
        <w:snapToGrid w:val="false"/>
        <w:spacing w:lineRule="exact" w:line="420"/>
        <w:ind w:firstLine="442" w:start="0"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其他约定</w:t>
      </w:r>
    </w:p>
    <w:p>
      <w:pPr>
        <w:pStyle w:val="Normal"/>
        <w:keepNext w:val="false"/>
        <w:keepLines w:val="false"/>
        <w:pageBreakBefore w:val="false"/>
        <w:numPr>
          <w:ilvl w:val="0"/>
          <w:numId w:val="33"/>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同意乙方依法依规</w:t>
      </w:r>
      <w:r>
        <w:rPr>
          <w:rFonts w:ascii="方正书宋_GBK" w:hAnsi="方正书宋_GBK" w:cs="方正书宋_GBK" w:eastAsia="方正书宋_GBK"/>
          <w:kern w:val="0"/>
          <w:sz w:val="22"/>
          <w:szCs w:val="22"/>
        </w:rPr>
        <w:t>开展以下</w:t>
      </w:r>
      <w:r>
        <w:rPr>
          <w:rFonts w:eastAsia="方正书宋_GBK" w:cs="方正书宋_GBK" w:ascii="方正书宋_GBK" w:hAnsi="方正书宋_GBK"/>
          <w:kern w:val="0"/>
          <w:sz w:val="22"/>
          <w:szCs w:val="22"/>
        </w:rPr>
        <w:t>__________</w:t>
      </w:r>
      <w:r>
        <w:rPr>
          <w:rFonts w:ascii="方正书宋_GBK" w:hAnsi="方正书宋_GBK" w:cs="方正书宋_GBK" w:eastAsia="方正书宋_GBK"/>
          <w:kern w:val="0"/>
          <w:sz w:val="22"/>
          <w:szCs w:val="22"/>
        </w:rPr>
        <w:t>事项。</w:t>
      </w:r>
    </w:p>
    <w:p>
      <w:pPr>
        <w:pStyle w:val="Normal"/>
        <w:keepNext w:val="false"/>
        <w:keepLines w:val="false"/>
        <w:pageBreakBefore w:val="false"/>
        <w:numPr>
          <w:ilvl w:val="0"/>
          <w:numId w:val="13"/>
        </w:numPr>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改良土壤；</w:t>
      </w:r>
    </w:p>
    <w:p>
      <w:pPr>
        <w:pStyle w:val="Normal"/>
        <w:keepNext w:val="false"/>
        <w:keepLines w:val="false"/>
        <w:pageBreakBefore w:val="false"/>
        <w:overflowPunct w:val="true"/>
        <w:autoSpaceDE w:val="true"/>
        <w:bidi w:val="0"/>
        <w:snapToGrid w:val="false"/>
        <w:spacing w:lineRule="exact" w:line="420"/>
        <w:ind w:start="6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②</w:t>
      </w:r>
      <w:r>
        <w:rPr>
          <w:rFonts w:ascii="方正书宋_GBK" w:hAnsi="方正书宋_GBK" w:cs="方正书宋_GBK" w:eastAsia="方正书宋_GBK"/>
          <w:kern w:val="0"/>
          <w:sz w:val="22"/>
          <w:szCs w:val="22"/>
        </w:rPr>
        <w:t>建设农业生产附属、配套设施；</w:t>
      </w:r>
    </w:p>
    <w:p>
      <w:pPr>
        <w:pStyle w:val="Normal"/>
        <w:keepNext w:val="false"/>
        <w:keepLines w:val="false"/>
        <w:pageBreakBefore w:val="false"/>
        <w:overflowPunct w:val="true"/>
        <w:autoSpaceDE w:val="true"/>
        <w:bidi w:val="0"/>
        <w:snapToGrid w:val="false"/>
        <w:spacing w:lineRule="exact" w:line="420"/>
        <w:ind w:start="6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③</w:t>
      </w:r>
      <w:r>
        <w:rPr>
          <w:rFonts w:ascii="方正书宋_GBK" w:hAnsi="方正书宋_GBK" w:cs="方正书宋_GBK" w:eastAsia="方正书宋_GBK"/>
          <w:kern w:val="0"/>
          <w:sz w:val="22"/>
          <w:szCs w:val="22"/>
        </w:rPr>
        <w:t>以土地经营权融资担保；</w:t>
      </w:r>
    </w:p>
    <w:p>
      <w:pPr>
        <w:pStyle w:val="Normal"/>
        <w:keepNext w:val="false"/>
        <w:keepLines w:val="false"/>
        <w:pageBreakBefore w:val="false"/>
        <w:overflowPunct w:val="true"/>
        <w:autoSpaceDE w:val="true"/>
        <w:bidi w:val="0"/>
        <w:snapToGrid w:val="false"/>
        <w:spacing w:lineRule="exact" w:line="420"/>
        <w:ind w:start="6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④</w:t>
      </w:r>
      <w:r>
        <w:rPr>
          <w:rFonts w:ascii="方正书宋_GBK" w:hAnsi="方正书宋_GBK" w:cs="方正书宋_GBK" w:eastAsia="方正书宋_GBK"/>
          <w:kern w:val="0"/>
          <w:sz w:val="22"/>
          <w:szCs w:val="22"/>
        </w:rPr>
        <w:t>再次流转土地经营权。</w:t>
      </w:r>
    </w:p>
    <w:p>
      <w:pPr>
        <w:pStyle w:val="Normal"/>
        <w:keepNext w:val="false"/>
        <w:keepLines w:val="false"/>
        <w:pageBreakBefore w:val="false"/>
        <w:numPr>
          <w:ilvl w:val="0"/>
          <w:numId w:val="22"/>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耕地地力保护补贴以及其他政策性补贴，按国家有关规定执行。</w:t>
      </w:r>
    </w:p>
    <w:p>
      <w:pPr>
        <w:pStyle w:val="Normal"/>
        <w:keepNext w:val="false"/>
        <w:keepLines w:val="false"/>
        <w:pageBreakBefore w:val="false"/>
        <w:numPr>
          <w:ilvl w:val="0"/>
          <w:numId w:val="10"/>
        </w:numPr>
        <w:overflowPunct w:val="true"/>
        <w:autoSpaceDE w:val="true"/>
        <w:bidi w:val="0"/>
        <w:snapToGrid w:val="false"/>
        <w:spacing w:lineRule="exact" w:line="420"/>
        <w:ind w:firstLine="440"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对整村土地经营权流转或</w:t>
      </w:r>
      <w:r>
        <w:rPr>
          <w:rFonts w:eastAsia="方正书宋_GBK" w:cs="方正书宋_GBK" w:ascii="方正书宋_GBK" w:hAnsi="方正书宋_GBK"/>
          <w:sz w:val="22"/>
          <w:szCs w:val="22"/>
        </w:rPr>
        <w:t>500</w:t>
      </w:r>
      <w:r>
        <w:rPr>
          <w:rFonts w:ascii="方正书宋_GBK" w:hAnsi="方正书宋_GBK" w:cs="方正书宋_GBK" w:eastAsia="方正书宋_GBK"/>
          <w:sz w:val="22"/>
          <w:szCs w:val="22"/>
        </w:rPr>
        <w:t>亩以上土地经营权流转等风险较高的项目，乙方应于本合同签订之日起</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日内向甲方支付</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元作为农村土地经营权流转风险保障金。风险保障金应专户储存，专款专用。对于擅自改变流转土地的农业用途、给土地造成严重损害或者严重破坏土地生态环境的，风险保障金不予退还。</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t>4.</w:t>
      </w:r>
      <w:r>
        <w:rPr>
          <w:rFonts w:ascii="方正书宋_GBK" w:hAnsi="方正书宋_GBK" w:cs="方正书宋_GBK" w:eastAsia="方正书宋_GBK"/>
          <w:bCs/>
          <w:sz w:val="22"/>
          <w:szCs w:val="22"/>
        </w:rPr>
        <w:t>其他事项：</w:t>
      </w:r>
      <w:r>
        <w:rPr>
          <w:rFonts w:eastAsia="方正书宋_GBK" w:cs="方正书宋_GBK" w:ascii="方正书宋_GBK" w:hAnsi="方正书宋_GBK"/>
          <w:bCs/>
          <w:sz w:val="22"/>
          <w:szCs w:val="22"/>
        </w:rPr>
        <w:t>_______________________________________</w:t>
      </w:r>
      <w:r>
        <w:rPr>
          <w:rFonts w:ascii="方正书宋_GBK" w:hAnsi="方正书宋_GBK" w:cs="方正书宋_GBK" w:eastAsia="方正书宋_GBK"/>
          <w:bCs/>
          <w:sz w:val="22"/>
          <w:szCs w:val="22"/>
        </w:rPr>
        <w:t>。</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overflowPunct w:val="true"/>
        <w:autoSpaceDE w:val="true"/>
        <w:bidi w:val="0"/>
        <w:snapToGrid w:val="false"/>
        <w:spacing w:lineRule="exact" w:line="420"/>
        <w:ind w:firstLine="440" w:end="0"/>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kern w:val="0"/>
          <w:sz w:val="22"/>
          <w:szCs w:val="22"/>
        </w:rPr>
        <w:t>本协议一式</w:t>
      </w:r>
      <w:r>
        <w:rPr>
          <w:rFonts w:eastAsia="方正书宋_GBK" w:cs="方正书宋_GBK" w:ascii="方正书宋_GBK" w:hAnsi="方正书宋_GBK"/>
          <w:b/>
          <w:bCs/>
          <w:kern w:val="0"/>
          <w:sz w:val="22"/>
          <w:szCs w:val="22"/>
        </w:rPr>
        <w:t>_______</w:t>
      </w:r>
      <w:r>
        <w:rPr>
          <w:rFonts w:ascii="方正书宋_GBK" w:hAnsi="方正书宋_GBK" w:cs="方正书宋_GBK" w:eastAsia="方正书宋_GBK"/>
          <w:kern w:val="0"/>
          <w:sz w:val="22"/>
          <w:szCs w:val="22"/>
        </w:rPr>
        <w:t>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w:t>
      </w:r>
      <w:r>
        <w:rPr>
          <w:rFonts w:ascii="方正书宋_GBK" w:hAnsi="方正书宋_GBK" w:cs="方正书宋_GBK" w:eastAsia="方正书宋_GBK"/>
          <w:sz w:val="22"/>
          <w:szCs w:val="22"/>
        </w:rPr>
        <w:t>农户流转土地经营权的，</w:t>
      </w:r>
      <w:r>
        <w:rPr>
          <w:rFonts w:ascii="方正书宋_GBK" w:hAnsi="方正书宋_GBK" w:cs="方正书宋_GBK" w:eastAsia="方正书宋_GBK"/>
          <w:kern w:val="0"/>
          <w:sz w:val="22"/>
          <w:szCs w:val="22"/>
        </w:rPr>
        <w:t>发包方和镇（乡、街）农村土地承包管理部门各备案一份；</w:t>
      </w:r>
      <w:r>
        <w:rPr>
          <w:rFonts w:ascii="方正书宋_GBK" w:hAnsi="方正书宋_GBK" w:cs="方正书宋_GBK" w:eastAsia="方正书宋_GBK"/>
          <w:sz w:val="22"/>
          <w:szCs w:val="22"/>
        </w:rPr>
        <w:t>农户委托村集体经济组织流转土地经营权或村集体经济组织流转机动地、新开垦耕地的，</w:t>
      </w:r>
      <w:r>
        <w:rPr>
          <w:rFonts w:ascii="方正书宋_GBK" w:hAnsi="方正书宋_GBK" w:cs="方正书宋_GBK" w:eastAsia="方正书宋_GBK"/>
          <w:kern w:val="0"/>
          <w:sz w:val="22"/>
          <w:szCs w:val="22"/>
        </w:rPr>
        <w:t>镇（乡、街）农村集体资产管理部门备案一份。</w:t>
      </w:r>
      <w:r>
        <w:rPr>
          <w:rFonts w:ascii="方正书宋_GBK" w:hAnsi="方正书宋_GBK" w:cs="方正书宋_GBK" w:eastAsia="方正书宋_GBK"/>
          <w:sz w:val="22"/>
          <w:szCs w:val="22"/>
        </w:rPr>
        <w:t>农户流转土地经营权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农户委托村集体经济组织流转土地经营权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村集体经济组织流转机动地、新开垦耕地通过</w:t>
      </w:r>
      <w:r>
        <w:rPr>
          <w:rFonts w:ascii="方正书宋_GBK" w:hAnsi="方正书宋_GBK" w:cs="方正书宋_GBK" w:eastAsia="方正书宋_GBK"/>
          <w:kern w:val="0"/>
          <w:sz w:val="22"/>
          <w:szCs w:val="22"/>
        </w:rPr>
        <w:t>天津市农村产权流转交易市场公开交易的，天津市农村产权流转交易市场留存一份。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firstLine="442" w:start="120"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 xml:space="preserve">            </w:t>
      </w:r>
      <w:r>
        <w:rPr>
          <w:rFonts w:eastAsia="方正书宋_GBK" w:cs="方正书宋_GBK" w:ascii="方正书宋_GBK" w:hAnsi="方正书宋_GBK"/>
          <w:color w:val="000000"/>
          <w:kern w:val="0"/>
          <w:sz w:val="22"/>
          <w:szCs w:val="22"/>
          <w:u w:val="single"/>
          <w:lang w:val="zh-TW" w:eastAsia="zh-TW" w:bidi="zh-TW"/>
        </w:rPr>
        <w:t>_______</w:t>
      </w:r>
      <w:r>
        <w:rPr>
          <w:rFonts w:ascii="方正书宋_GBK" w:hAnsi="方正书宋_GBK" w:cs="方正书宋_GBK" w:eastAsia="方正书宋_GBK"/>
          <w:color w:val="000000"/>
          <w:kern w:val="0"/>
          <w:sz w:val="22"/>
          <w:szCs w:val="22"/>
          <w:u w:val="single"/>
          <w:lang w:val="zh-TW" w:eastAsia="zh-TW" w:bidi="zh-TW"/>
        </w:rPr>
        <w:t>年</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月</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日</w:t>
      </w:r>
    </w:p>
    <w:tbl>
      <w:tblPr>
        <w:tblW w:w="8664" w:type="dxa"/>
        <w:jc w:val="center"/>
        <w:tblInd w:w="0" w:type="dxa"/>
        <w:tblLayout w:type="fixed"/>
        <w:tblCellMar>
          <w:top w:w="0" w:type="dxa"/>
          <w:start w:w="108" w:type="dxa"/>
          <w:bottom w:w="0" w:type="dxa"/>
          <w:end w:w="108" w:type="dxa"/>
        </w:tblCellMar>
      </w:tblPr>
      <w:tblGrid>
        <w:gridCol w:w="2736"/>
        <w:gridCol w:w="2195"/>
        <w:gridCol w:w="1284"/>
        <w:gridCol w:w="2449"/>
      </w:tblGrid>
      <w:tr>
        <w:trPr>
          <w:trHeight w:val="90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承包方代表、自然人、法定代表人或主要负责人姓名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r>
              <w:rPr>
                <w:rFonts w:ascii="方正书宋_GBK" w:hAnsi="方正书宋_GBK" w:cs="方正书宋_GBK" w:eastAsia="方正书宋_GBK"/>
                <w:color w:val="000000"/>
                <w:kern w:val="0"/>
                <w:sz w:val="18"/>
                <w:szCs w:val="18"/>
                <w:lang w:val="zh-TW" w:bidi="zh-TW"/>
              </w:rPr>
              <w:t xml:space="preserve"> （统一社会信用代码）</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449"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19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84"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49"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ind w:firstLine="442"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            </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 xml:space="preserve">日      </w:t>
      </w:r>
    </w:p>
    <w:tbl>
      <w:tblPr>
        <w:tblW w:w="8664" w:type="dxa"/>
        <w:jc w:val="center"/>
        <w:tblInd w:w="0" w:type="dxa"/>
        <w:tblLayout w:type="fixed"/>
        <w:tblCellMar>
          <w:top w:w="0" w:type="dxa"/>
          <w:start w:w="108" w:type="dxa"/>
          <w:bottom w:w="0" w:type="dxa"/>
          <w:end w:w="108" w:type="dxa"/>
        </w:tblCellMar>
      </w:tblPr>
      <w:tblGrid>
        <w:gridCol w:w="2736"/>
        <w:gridCol w:w="2195"/>
        <w:gridCol w:w="1272"/>
        <w:gridCol w:w="2461"/>
      </w:tblGrid>
      <w:tr>
        <w:trPr>
          <w:trHeight w:val="90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自然人、法定代表人或主要负责人姓名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r>
              <w:rPr>
                <w:rFonts w:ascii="方正书宋_GBK" w:hAnsi="方正书宋_GBK" w:cs="方正书宋_GBK" w:eastAsia="方正书宋_GBK"/>
                <w:color w:val="000000"/>
                <w:kern w:val="0"/>
                <w:sz w:val="18"/>
                <w:szCs w:val="18"/>
                <w:lang w:val="zh-TW" w:bidi="zh-TW"/>
              </w:rPr>
              <w:t xml:space="preserve"> （统一社会信用代码）</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195"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46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atLeas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19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461"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_____________________</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_______________________________</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____________________________________________</w:t>
      </w:r>
    </w:p>
    <w:p>
      <w:pPr>
        <w:sectPr>
          <w:headerReference w:type="default" r:id="rId2"/>
          <w:footerReference w:type="default" r:id="rId3"/>
          <w:type w:val="nextPage"/>
          <w:pgSz w:w="11906" w:h="16838"/>
          <w:pgMar w:left="1587" w:right="1474" w:gutter="0" w:header="0" w:top="2098" w:footer="1417" w:bottom="1984"/>
          <w:pgNumType w:fmt="decimal"/>
          <w:formProt w:val="false"/>
          <w:textDirection w:val="lrTb"/>
          <w:docGrid w:type="lines" w:linePitch="386" w:charSpace="0"/>
        </w:sectPr>
        <w:pStyle w:val="Normal"/>
        <w:keepNext w:val="false"/>
        <w:keepLines w:val="false"/>
        <w:pageBreakBefore w:val="fals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r>
        <w:br w:type="page"/>
      </w:r>
    </w:p>
    <w:p>
      <w:pPr>
        <w:pStyle w:val="Normal"/>
        <w:keepNext w:val="false"/>
        <w:keepLines w:val="false"/>
        <w:pageBreakBefore w:val="fals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合同附件：</w:t>
      </w:r>
    </w:p>
    <w:p>
      <w:pPr>
        <w:pStyle w:val="Normal"/>
        <w:keepNext w:val="false"/>
        <w:keepLines w:val="false"/>
        <w:pageBreakBefore w:val="false"/>
        <w:overflowPunct w:val="true"/>
        <w:autoSpaceDE w:val="true"/>
        <w:bidi w:val="0"/>
        <w:spacing w:lineRule="exact" w:line="420"/>
        <w:jc w:val="center"/>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流转土地经营权基本情况表</w:t>
      </w:r>
    </w:p>
    <w:p>
      <w:pPr>
        <w:pStyle w:val="Normal"/>
        <w:keepNext w:val="false"/>
        <w:keepLines w:val="false"/>
        <w:pageBreakBefore w:val="fals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14174" w:type="dxa"/>
        <w:jc w:val="center"/>
        <w:tblInd w:w="0" w:type="dxa"/>
        <w:tblLayout w:type="fixed"/>
        <w:tblCellMar>
          <w:top w:w="0" w:type="dxa"/>
          <w:start w:w="108" w:type="dxa"/>
          <w:bottom w:w="0" w:type="dxa"/>
          <w:end w:w="108" w:type="dxa"/>
        </w:tblCellMar>
      </w:tblPr>
      <w:tblGrid>
        <w:gridCol w:w="832"/>
        <w:gridCol w:w="2076"/>
        <w:gridCol w:w="2475"/>
        <w:gridCol w:w="1350"/>
        <w:gridCol w:w="1067"/>
        <w:gridCol w:w="1111"/>
        <w:gridCol w:w="1111"/>
        <w:gridCol w:w="1111"/>
        <w:gridCol w:w="1112"/>
        <w:gridCol w:w="1929"/>
      </w:tblGrid>
      <w:tr>
        <w:trPr>
          <w:trHeight w:val="148" w:hRule="atLeast"/>
        </w:trPr>
        <w:tc>
          <w:tcPr>
            <w:tcW w:w="83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20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委托人</w:t>
            </w:r>
          </w:p>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（承包方代表）</w:t>
            </w:r>
          </w:p>
        </w:tc>
        <w:tc>
          <w:tcPr>
            <w:tcW w:w="247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地块名称</w:t>
            </w:r>
          </w:p>
        </w:tc>
        <w:tc>
          <w:tcPr>
            <w:tcW w:w="13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地块编码</w:t>
            </w:r>
          </w:p>
        </w:tc>
        <w:tc>
          <w:tcPr>
            <w:tcW w:w="10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面积</w:t>
            </w:r>
          </w:p>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（亩）</w:t>
            </w:r>
          </w:p>
        </w:tc>
        <w:tc>
          <w:tcPr>
            <w:tcW w:w="444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四至界限</w:t>
            </w:r>
          </w:p>
        </w:tc>
        <w:tc>
          <w:tcPr>
            <w:tcW w:w="19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土地承包经营权证或承包合同编号</w:t>
            </w:r>
          </w:p>
        </w:tc>
      </w:tr>
      <w:tr>
        <w:trPr>
          <w:trHeight w:val="361" w:hRule="atLeast"/>
        </w:trPr>
        <w:tc>
          <w:tcPr>
            <w:tcW w:w="83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0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东</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南</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西</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北</w:t>
            </w:r>
          </w:p>
        </w:tc>
        <w:tc>
          <w:tcPr>
            <w:tcW w:w="19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14174" w:type="dxa"/>
            <w:gridSpan w:val="10"/>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tc>
        <w:tc>
          <w:tcPr>
            <w:tcW w:w="1334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overflowPunct w:val="true"/>
              <w:autoSpaceDE w:val="true"/>
              <w:bidi w:val="0"/>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农户</w:t>
            </w:r>
            <w:r>
              <w:rPr>
                <w:rFonts w:eastAsia="方正书宋_GBK" w:cs="方正书宋_GBK" w:ascii="方正书宋_GBK" w:hAnsi="方正书宋_GBK"/>
                <w:color w:val="3F3C4A"/>
                <w:kern w:val="0"/>
                <w:sz w:val="18"/>
                <w:szCs w:val="18"/>
                <w:lang w:val="zh-TW" w:eastAsia="zh-TW" w:bidi="zh-TW"/>
              </w:rPr>
              <w:t>_______</w:t>
            </w:r>
            <w:r>
              <w:rPr>
                <w:rFonts w:ascii="方正书宋_GBK" w:hAnsi="方正书宋_GBK" w:cs="方正书宋_GBK" w:eastAsia="方正书宋_GBK"/>
                <w:sz w:val="18"/>
                <w:szCs w:val="18"/>
              </w:rPr>
              <w:t>户、地块</w:t>
            </w:r>
            <w:r>
              <w:rPr>
                <w:rFonts w:eastAsia="方正书宋_GBK" w:cs="方正书宋_GBK" w:ascii="方正书宋_GBK" w:hAnsi="方正书宋_GBK"/>
                <w:color w:val="3F3C4A"/>
                <w:kern w:val="0"/>
                <w:sz w:val="18"/>
                <w:szCs w:val="18"/>
                <w:lang w:val="zh-TW" w:eastAsia="zh-TW" w:bidi="zh-TW"/>
              </w:rPr>
              <w:t>_______</w:t>
            </w:r>
            <w:r>
              <w:rPr>
                <w:rFonts w:ascii="方正书宋_GBK" w:hAnsi="方正书宋_GBK" w:cs="方正书宋_GBK" w:eastAsia="方正书宋_GBK"/>
                <w:sz w:val="18"/>
                <w:szCs w:val="18"/>
              </w:rPr>
              <w:t>块、面积</w:t>
            </w:r>
            <w:r>
              <w:rPr>
                <w:rFonts w:eastAsia="方正书宋_GBK" w:cs="方正书宋_GBK" w:ascii="方正书宋_GBK" w:hAnsi="方正书宋_GBK"/>
                <w:color w:val="3F3C4A"/>
                <w:kern w:val="0"/>
                <w:sz w:val="18"/>
                <w:szCs w:val="18"/>
                <w:lang w:val="zh-TW" w:eastAsia="zh-TW" w:bidi="zh-TW"/>
              </w:rPr>
              <w:t>_______</w:t>
            </w:r>
            <w:r>
              <w:rPr>
                <w:rFonts w:ascii="方正书宋_GBK" w:hAnsi="方正书宋_GBK" w:cs="方正书宋_GBK" w:eastAsia="方正书宋_GBK"/>
                <w:sz w:val="18"/>
                <w:szCs w:val="18"/>
              </w:rPr>
              <w:t>亩。</w:t>
            </w:r>
          </w:p>
        </w:tc>
      </w:tr>
    </w:tbl>
    <w:p>
      <w:pPr>
        <w:sectPr>
          <w:headerReference w:type="default" r:id="rId4"/>
          <w:headerReference w:type="first" r:id="rId5"/>
          <w:footerReference w:type="default" r:id="rId6"/>
          <w:footerReference w:type="first" r:id="rId7"/>
          <w:type w:val="nextPage"/>
          <w:pgSz w:orient="landscape" w:w="16838" w:h="11906"/>
          <w:pgMar w:left="2098" w:right="1984" w:gutter="0" w:header="0" w:top="1587" w:footer="1417" w:bottom="1474"/>
          <w:pgNumType w:fmt="decimal"/>
          <w:formProt w:val="false"/>
          <w:textDirection w:val="lrTb"/>
          <w:docGrid w:type="lines" w:linePitch="384" w:charSpace="0"/>
        </w:sectPr>
      </w:pPr>
      <w:r>
        <w:br w:type="page"/>
      </w:r>
    </w:p>
    <w:p>
      <w:pPr>
        <w:pStyle w:val="Normal"/>
        <w:keepNext w:val="false"/>
        <w:keepLines w:val="false"/>
        <w:pageBreakBefore w:val="fals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sectPr>
      <w:headerReference w:type="default" r:id="rId8"/>
      <w:headerReference w:type="first" r:id="rId9"/>
      <w:footerReference w:type="default" r:id="rId10"/>
      <w:footerReference w:type="first" r:id="rId11"/>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7</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630.6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7</w:t>
                    </w:r>
                    <w:r>
                      <w:rPr>
                        <w:sz w:val="28"/>
                        <w:szCs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90805" cy="205740"/>
              <wp:effectExtent l="0" t="0" r="0" b="0"/>
              <wp:wrapNone/>
              <wp:docPr id="3" name="Frame3"/>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8</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8</w:t>
                    </w:r>
                    <w:r>
                      <w:rPr>
                        <w:sz w:val="28"/>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EnclosedCircle"/>
      <w:suff w:val="nothing"/>
      <w:lvlText w:val="%1　"/>
      <w:lvlJc w:val="start"/>
      <w:pPr>
        <w:tabs>
          <w:tab w:val="num" w:pos="0"/>
        </w:tabs>
        <w:ind w:start="0" w:firstLine="400"/>
      </w:pPr>
    </w:lvl>
  </w:abstractNum>
  <w:abstractNum w:abstractNumId="3">
    <w:lvl w:ilvl="0">
      <w:start w:val="1"/>
      <w:numFmt w:val="decimalEnclosedCircle"/>
      <w:suff w:val="nothing"/>
      <w:lvlText w:val="%1　"/>
      <w:lvlJc w:val="start"/>
      <w:pPr>
        <w:tabs>
          <w:tab w:val="num" w:pos="0"/>
        </w:tabs>
        <w:ind w:start="167" w:firstLine="400"/>
      </w:pPr>
    </w:lvl>
  </w:abstractNum>
  <w:abstractNum w:abstractNumId="4">
    <w:lvl w:ilvl="0">
      <w:start w:val="1"/>
      <w:numFmt w:val="decimalEnclosedCircle"/>
      <w:suff w:val="nothing"/>
      <w:lvlText w:val="%1　"/>
      <w:lvlJc w:val="start"/>
      <w:pPr>
        <w:tabs>
          <w:tab w:val="num" w:pos="0"/>
        </w:tabs>
        <w:ind w:start="0" w:firstLine="400"/>
      </w:pPr>
    </w:lvl>
  </w:abstractNum>
  <w:abstractNum w:abstractNumId="5">
    <w:lvl w:ilvl="0">
      <w:start w:val="1"/>
      <w:numFmt w:val="decimal"/>
      <w:suff w:val="nothing"/>
      <w:lvlText w:val="%1．"/>
      <w:lvlJc w:val="start"/>
      <w:pPr>
        <w:tabs>
          <w:tab w:val="num" w:pos="0"/>
        </w:tabs>
        <w:ind w:start="0" w:firstLine="400"/>
      </w:pPr>
    </w:lvl>
  </w:abstractNum>
  <w:abstractNum w:abstractNumId="6">
    <w:lvl w:ilvl="0">
      <w:start w:val="1"/>
      <w:numFmt w:val="decimal"/>
      <w:suff w:val="nothing"/>
      <w:lvlText w:val="%1．"/>
      <w:lvlJc w:val="start"/>
      <w:pPr>
        <w:tabs>
          <w:tab w:val="num" w:pos="0"/>
        </w:tabs>
        <w:ind w:start="0" w:firstLine="400"/>
      </w:pPr>
    </w:lvl>
  </w:abstractNum>
  <w:abstractNum w:abstractNumId="7">
    <w:lvl w:ilvl="0">
      <w:start w:val="1"/>
      <w:numFmt w:val="chineseCountingThousand"/>
      <w:suff w:val="space"/>
      <w:lvlText w:val="第%1条"/>
      <w:lvlJc w:val="start"/>
      <w:pPr>
        <w:tabs>
          <w:tab w:val="num" w:pos="0"/>
        </w:tabs>
        <w:ind w:start="0" w:hanging="0"/>
      </w:pPr>
      <w:rPr>
        <w:lang w:val="en-US"/>
      </w:rPr>
    </w:lvl>
  </w:abstractNum>
  <w:abstractNum w:abstractNumId="8">
    <w:lvl w:ilvl="0">
      <w:start w:val="1"/>
      <w:numFmt w:val="decimal"/>
      <w:suff w:val="nothing"/>
      <w:lvlText w:val="%1．"/>
      <w:lvlJc w:val="start"/>
      <w:pPr>
        <w:tabs>
          <w:tab w:val="num" w:pos="0"/>
        </w:tabs>
        <w:ind w:start="0" w:firstLine="400"/>
      </w:pPr>
    </w:lvl>
  </w:abstractNum>
  <w:abstractNum w:abstractNumId="9">
    <w:lvl w:ilvl="0">
      <w:start w:val="1"/>
      <w:numFmt w:val="decimalEnclosedCircle"/>
      <w:suff w:val="nothing"/>
      <w:lvlText w:val="%1　"/>
      <w:lvlJc w:val="start"/>
      <w:pPr>
        <w:tabs>
          <w:tab w:val="num" w:pos="0"/>
        </w:tabs>
        <w:ind w:start="1444" w:firstLine="400"/>
      </w:pPr>
      <w:rPr>
        <w:lang w:val="en-US"/>
      </w:rPr>
    </w:lvl>
  </w:abstractNum>
  <w:abstractNum w:abstractNumId="10">
    <w:lvl w:ilvl="0">
      <w:start w:val="1"/>
      <w:numFmt w:val="decimal"/>
      <w:suff w:val="nothing"/>
      <w:lvlText w:val="%1．"/>
      <w:lvlJc w:val="start"/>
      <w:pPr>
        <w:tabs>
          <w:tab w:val="num" w:pos="0"/>
        </w:tabs>
        <w:ind w:start="0" w:firstLine="400"/>
      </w:pPr>
    </w:lvl>
  </w:abstractNum>
  <w:abstractNum w:abstractNumId="11">
    <w:lvl w:ilvl="0">
      <w:start w:val="1"/>
      <w:numFmt w:val="decimal"/>
      <w:suff w:val="nothing"/>
      <w:lvlText w:val="%1．"/>
      <w:lvlJc w:val="start"/>
      <w:pPr>
        <w:tabs>
          <w:tab w:val="num" w:pos="0"/>
        </w:tabs>
        <w:ind w:start="0" w:firstLine="400"/>
      </w:pPr>
    </w:lvl>
  </w:abstractNum>
  <w:abstractNum w:abstractNumId="12">
    <w:lvl w:ilvl="0">
      <w:start w:val="1"/>
      <w:numFmt w:val="decimal"/>
      <w:suff w:val="nothing"/>
      <w:lvlText w:val="%1．"/>
      <w:lvlJc w:val="start"/>
      <w:pPr>
        <w:tabs>
          <w:tab w:val="num" w:pos="0"/>
        </w:tabs>
        <w:ind w:start="0" w:firstLine="400"/>
      </w:pPr>
    </w:lvl>
  </w:abstractNum>
  <w:abstractNum w:abstractNumId="13">
    <w:lvl w:ilvl="0">
      <w:start w:val="2"/>
      <w:numFmt w:val="decimalEnclosedCircle"/>
      <w:lvlText w:val="%1"/>
      <w:lvlJc w:val="start"/>
      <w:pPr>
        <w:tabs>
          <w:tab w:val="num" w:pos="0"/>
        </w:tabs>
        <w:ind w:start="1000" w:hanging="360"/>
      </w:pPr>
      <w:rPr/>
    </w:lvl>
    <w:lvl w:ilvl="1">
      <w:start w:val="1"/>
      <w:numFmt w:val="lowerLetter"/>
      <w:lvlText w:val="%2)"/>
      <w:lvlJc w:val="start"/>
      <w:pPr>
        <w:tabs>
          <w:tab w:val="num" w:pos="0"/>
        </w:tabs>
        <w:ind w:start="1480" w:hanging="420"/>
      </w:pPr>
    </w:lvl>
    <w:lvl w:ilvl="2">
      <w:start w:val="1"/>
      <w:numFmt w:val="lowerRoman"/>
      <w:lvlText w:val="%3."/>
      <w:lvlJc w:val="end"/>
      <w:pPr>
        <w:tabs>
          <w:tab w:val="num" w:pos="0"/>
        </w:tabs>
        <w:ind w:start="1900" w:hanging="420"/>
      </w:pPr>
    </w:lvl>
    <w:lvl w:ilvl="3">
      <w:start w:val="1"/>
      <w:numFmt w:val="decimal"/>
      <w:lvlText w:val="%4."/>
      <w:lvlJc w:val="start"/>
      <w:pPr>
        <w:tabs>
          <w:tab w:val="num" w:pos="0"/>
        </w:tabs>
        <w:ind w:start="2320" w:hanging="420"/>
      </w:pPr>
    </w:lvl>
    <w:lvl w:ilvl="4">
      <w:start w:val="1"/>
      <w:numFmt w:val="lowerLetter"/>
      <w:lvlText w:val="%5)"/>
      <w:lvlJc w:val="start"/>
      <w:pPr>
        <w:tabs>
          <w:tab w:val="num" w:pos="0"/>
        </w:tabs>
        <w:ind w:start="2740" w:hanging="420"/>
      </w:pPr>
    </w:lvl>
    <w:lvl w:ilvl="5">
      <w:start w:val="1"/>
      <w:numFmt w:val="lowerRoman"/>
      <w:lvlText w:val="%6."/>
      <w:lvlJc w:val="end"/>
      <w:pPr>
        <w:tabs>
          <w:tab w:val="num" w:pos="0"/>
        </w:tabs>
        <w:ind w:start="3160" w:hanging="420"/>
      </w:pPr>
    </w:lvl>
    <w:lvl w:ilvl="6">
      <w:start w:val="1"/>
      <w:numFmt w:val="decimal"/>
      <w:lvlText w:val="%7."/>
      <w:lvlJc w:val="start"/>
      <w:pPr>
        <w:tabs>
          <w:tab w:val="num" w:pos="0"/>
        </w:tabs>
        <w:ind w:start="3580" w:hanging="420"/>
      </w:pPr>
    </w:lvl>
    <w:lvl w:ilvl="7">
      <w:start w:val="1"/>
      <w:numFmt w:val="lowerLetter"/>
      <w:lvlText w:val="%8)"/>
      <w:lvlJc w:val="start"/>
      <w:pPr>
        <w:tabs>
          <w:tab w:val="num" w:pos="0"/>
        </w:tabs>
        <w:ind w:start="4000" w:hanging="420"/>
      </w:pPr>
    </w:lvl>
    <w:lvl w:ilvl="8">
      <w:start w:val="1"/>
      <w:numFmt w:val="lowerRoman"/>
      <w:lvlText w:val="%9."/>
      <w:lvlJc w:val="end"/>
      <w:pPr>
        <w:tabs>
          <w:tab w:val="num" w:pos="0"/>
        </w:tabs>
        <w:ind w:start="4420" w:hanging="420"/>
      </w:pPr>
    </w:lvl>
  </w:abstractNum>
  <w:abstractNum w:abstractNumId="14">
    <w:lvl w:ilvl="0">
      <w:start w:val="1"/>
      <w:numFmt w:val="chineseCountingThousand"/>
      <w:suff w:val="space"/>
      <w:lvlText w:val="第%1条"/>
      <w:lvlJc w:val="start"/>
      <w:pPr>
        <w:tabs>
          <w:tab w:val="num" w:pos="0"/>
        </w:tabs>
        <w:ind w:start="0" w:hanging="0"/>
      </w:pPr>
      <w:rPr>
        <w:lang w:val="en-US"/>
      </w:rPr>
    </w:lvl>
  </w:abstractNum>
  <w:abstractNum w:abstractNumId="15">
    <w:lvl w:ilvl="0">
      <w:start w:val="1"/>
      <w:numFmt w:val="decimal"/>
      <w:suff w:val="nothing"/>
      <w:lvlText w:val="%1．"/>
      <w:lvlJc w:val="start"/>
      <w:pPr>
        <w:tabs>
          <w:tab w:val="num" w:pos="0"/>
        </w:tabs>
        <w:ind w:start="0" w:firstLine="400"/>
      </w:pPr>
    </w:lvl>
  </w:abstractNum>
  <w:abstractNum w:abstractNumId="16">
    <w:lvl w:ilvl="0">
      <w:start w:val="1"/>
      <w:numFmt w:val="decimal"/>
      <w:suff w:val="nothing"/>
      <w:lvlText w:val="%1．"/>
      <w:lvlJc w:val="start"/>
      <w:pPr>
        <w:tabs>
          <w:tab w:val="num" w:pos="0"/>
        </w:tabs>
        <w:ind w:start="0" w:firstLine="400"/>
      </w:pPr>
    </w:lvl>
  </w:abstractNum>
  <w:abstractNum w:abstractNumId="17">
    <w:lvl w:ilvl="0">
      <w:start w:val="1"/>
      <w:numFmt w:val="decimal"/>
      <w:suff w:val="nothing"/>
      <w:lvlText w:val="%1．"/>
      <w:lvlJc w:val="start"/>
      <w:pPr>
        <w:tabs>
          <w:tab w:val="num" w:pos="0"/>
        </w:tabs>
        <w:ind w:start="0" w:firstLine="400"/>
      </w:pPr>
    </w:lvl>
  </w:abstractNum>
  <w:abstractNum w:abstractNumId="18">
    <w:lvl w:ilvl="0">
      <w:start w:val="1"/>
      <w:numFmt w:val="decimalEnclosedCircle"/>
      <w:suff w:val="nothing"/>
      <w:lvlText w:val="%1　"/>
      <w:lvlJc w:val="start"/>
      <w:pPr>
        <w:tabs>
          <w:tab w:val="num" w:pos="0"/>
        </w:tabs>
        <w:ind w:start="0" w:firstLine="400"/>
      </w:pPr>
    </w:lvl>
  </w:abstractNum>
  <w:abstractNum w:abstractNumId="19">
    <w:lvl w:ilvl="0">
      <w:start w:val="1"/>
      <w:numFmt w:val="decimal"/>
      <w:suff w:val="nothing"/>
      <w:lvlText w:val="%1．"/>
      <w:lvlJc w:val="start"/>
      <w:pPr>
        <w:tabs>
          <w:tab w:val="num" w:pos="0"/>
        </w:tabs>
        <w:ind w:start="0" w:firstLine="400"/>
      </w:pPr>
    </w:lvl>
  </w:abstractNum>
  <w:abstractNum w:abstractNumId="20">
    <w:lvl w:ilvl="0">
      <w:start w:val="1"/>
      <w:numFmt w:val="decimalEnclosedCircle"/>
      <w:suff w:val="nothing"/>
      <w:lvlText w:val="%1　"/>
      <w:lvlJc w:val="start"/>
      <w:pPr>
        <w:tabs>
          <w:tab w:val="num" w:pos="0"/>
        </w:tabs>
        <w:ind w:start="0" w:firstLine="400"/>
      </w:pPr>
    </w:lvl>
  </w:abstractNum>
  <w:abstractNum w:abstractNumId="21">
    <w:lvl w:ilvl="0">
      <w:start w:val="1"/>
      <w:numFmt w:val="decimal"/>
      <w:suff w:val="nothing"/>
      <w:lvlText w:val="%1．"/>
      <w:lvlJc w:val="start"/>
      <w:pPr>
        <w:tabs>
          <w:tab w:val="num" w:pos="0"/>
        </w:tabs>
        <w:ind w:start="0" w:firstLine="400"/>
      </w:pPr>
    </w:lvl>
  </w:abstractNum>
  <w:abstractNum w:abstractNumId="22">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7"/>
    <w:lvlOverride w:ilvl="0">
      <w:startOverride w:val="1"/>
    </w:lvlOverride>
  </w:num>
  <w:num w:numId="24">
    <w:abstractNumId w:val="5"/>
    <w:lvlOverride w:ilvl="0">
      <w:startOverride w:val="1"/>
    </w:lvlOverride>
  </w:num>
  <w:num w:numId="25">
    <w:abstractNumId w:val="8"/>
    <w:lvlOverride w:ilvl="0">
      <w:startOverride w:val="1"/>
    </w:lvlOverride>
  </w:num>
  <w:num w:numId="26">
    <w:abstractNumId w:val="11"/>
    <w:lvlOverride w:ilvl="0">
      <w:startOverride w:val="1"/>
    </w:lvlOverride>
  </w:num>
  <w:num w:numId="27">
    <w:abstractNumId w:val="2"/>
    <w:lvlOverride w:ilvl="0">
      <w:startOverride w:val="1"/>
    </w:lvlOverride>
  </w:num>
  <w:num w:numId="28">
    <w:abstractNumId w:val="9"/>
    <w:lvlOverride w:ilvl="0">
      <w:startOverride w:val="1"/>
    </w:lvlOverride>
  </w:num>
  <w:num w:numId="29">
    <w:abstractNumId w:val="12"/>
    <w:lvlOverride w:ilvl="0">
      <w:startOverride w:val="1"/>
    </w:lvlOverride>
  </w:num>
  <w:num w:numId="30">
    <w:abstractNumId w:val="4"/>
    <w:lvlOverride w:ilvl="0">
      <w:startOverride w:val="1"/>
    </w:lvlOverride>
  </w:num>
  <w:num w:numId="31">
    <w:abstractNumId w:val="3"/>
    <w:lvlOverride w:ilvl="0">
      <w:startOverride w:val="1"/>
    </w:lvlOverride>
  </w:num>
  <w:num w:numId="32">
    <w:abstractNumId w:val="6"/>
    <w:lvlOverride w:ilvl="0">
      <w:startOverride w:val="1"/>
    </w:lvlOverride>
  </w:num>
  <w:num w:numId="33">
    <w:abstractNumId w:val="10"/>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WW8Num6z0">
    <w:name w:val="WW8Num6z0"/>
    <w:qFormat/>
    <w:rPr>
      <w:lang w:val="en-US"/>
    </w:rPr>
  </w:style>
  <w:style w:type="character" w:styleId="WW8Num8z0">
    <w:name w:val="WW8Num8z0"/>
    <w:qFormat/>
    <w:rPr>
      <w:lang w:val="en-US"/>
    </w:rPr>
  </w:style>
  <w:style w:type="character" w:styleId="WW8Num12z0">
    <w:name w:val="WW8Num12z0"/>
    <w:qFormat/>
    <w:rPr/>
  </w:style>
  <w:style w:type="character" w:styleId="Style12">
    <w:name w:val="默认段落字体"/>
    <w:qFormat/>
    <w:rPr/>
  </w:style>
  <w:style w:type="character" w:styleId="Style13">
    <w:name w:val="页脚 字符"/>
    <w:qFormat/>
    <w:rPr>
      <w:kern w:val="2"/>
      <w:sz w:val="18"/>
      <w:szCs w:val="18"/>
    </w:rPr>
  </w:style>
  <w:style w:type="character" w:styleId="Style14">
    <w:name w:val="批注框文本 字符"/>
    <w:qFormat/>
    <w:rPr>
      <w:kern w:val="2"/>
      <w:sz w:val="18"/>
      <w:szCs w:val="18"/>
    </w:rPr>
  </w:style>
  <w:style w:type="character" w:styleId="Hyperlink">
    <w:name w:val="Hyperlink"/>
    <w:rPr>
      <w:color w:val="333333"/>
      <w:u w:val="none"/>
    </w:rPr>
  </w:style>
  <w:style w:type="character" w:styleId="2Char">
    <w:name w:val="样式2 Char"/>
    <w:qFormat/>
    <w:rPr>
      <w:rFonts w:ascii="黑体" w:hAnsi="黑体" w:eastAsia="黑体"/>
      <w:sz w:val="24"/>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Style16">
    <w:name w:val="普通(网站)"/>
    <w:basedOn w:val="Normal"/>
    <w:qFormat/>
    <w:pPr>
      <w:widowControl/>
      <w:spacing w:before="280" w:after="280"/>
      <w:jc w:val="start"/>
    </w:pPr>
    <w:rPr>
      <w:rFonts w:ascii="宋体" w:hAnsi="宋体" w:eastAsia="宋体" w:cs="宋体"/>
      <w:kern w:val="0"/>
      <w:sz w:val="24"/>
      <w:szCs w:val="24"/>
    </w:rPr>
  </w:style>
  <w:style w:type="paragraph" w:styleId="Style17">
    <w:name w:val="纯文本"/>
    <w:basedOn w:val="Normal"/>
    <w:qFormat/>
    <w:pPr/>
    <w:rPr>
      <w:rFonts w:ascii="宋体" w:hAnsi="宋体" w:cs="Courier New"/>
      <w:sz w:val="24"/>
      <w:szCs w:val="21"/>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8">
    <w:name w:val="批注框文本"/>
    <w:basedOn w:val="Normal"/>
    <w:qFormat/>
    <w:pPr/>
    <w:rPr>
      <w:rFonts w:ascii="Times New Roman" w:hAnsi="Times New Roman" w:eastAsia="宋体"/>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2022-02-18T17:33:43Z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