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JF-2016-047                                                                     NO:</w:t>
      </w:r>
    </w:p>
    <w:p>
      <w:pPr>
        <w:pStyle w:val="Normal"/>
        <w:bidi w:val="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天津市皮革护理合同（凭证）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20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年 月 日 时 分                                                        皮鞋□双 旅游鞋□双 磨砂鞋□双 皮衣□件 包□个 </w:t>
      </w:r>
    </w:p>
    <w:tbl>
      <w:tblPr>
        <w:tblW w:w="13892" w:type="dxa"/>
        <w:jc w:val="start"/>
        <w:tblInd w:w="57" w:type="dxa"/>
        <w:tblLayout w:type="fixed"/>
        <w:tblCellMar>
          <w:top w:w="57" w:type="dxa"/>
          <w:start w:w="57" w:type="dxa"/>
          <w:bottom w:w="57" w:type="dxa"/>
          <w:end w:w="57" w:type="dxa"/>
        </w:tblCellMar>
      </w:tblPr>
      <w:tblGrid>
        <w:gridCol w:w="1843"/>
        <w:gridCol w:w="992"/>
        <w:gridCol w:w="851"/>
        <w:gridCol w:w="10206"/>
      </w:tblGrid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物品名称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  <w:lang w:val="zh-CN" w:eastAsia="zh-CN" w:bidi="zh-CN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  <w:lang w:val="zh-CN" w:eastAsia="zh-CN" w:bidi="zh-CN"/>
              </w:rPr>
              <w:t>服务项目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情况阐述（在□打“√” ）                                   会员级别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号码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</w:p>
        </w:tc>
      </w:tr>
      <w:tr>
        <w:trPr>
          <w:trHeight w:val="115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收件检查：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皱折□磨损□划伤□掉色□开胶□破皮□污渍严重□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油渍□色差□斑点□掉毛□发硬□返胶□毛长不一□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起毛□起球□发黄□串色□抽丝□开线□洗后掉色□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刀痕□起鼓□笔迹□断底□锈渍□缺件□曾处理过□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原残救治□ 磨损严重□皮质不同□ 网面断裂□皮质已坏□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</w:p>
        </w:tc>
      </w:tr>
      <w:tr>
        <w:trPr>
          <w:trHeight w:val="130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160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有可能出现的保养后果：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与原色接近□ 颜色差异□变浅□掉毛□串色□起球□网面断裂□皮质不同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□，均为正常现象或老化。</w:t>
            </w:r>
          </w:p>
        </w:tc>
      </w:tr>
      <w:tr>
        <w:trPr>
          <w:trHeight w:val="235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保值服务：是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 否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 xml:space="preserve"> 保值金额大写：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元。                       保值服务需另加保值金额的</w:t>
            </w: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  <w:t>5%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服务费，而且不享受会员折扣。</w:t>
            </w:r>
          </w:p>
        </w:tc>
      </w:tr>
      <w:tr>
        <w:trPr>
          <w:trHeight w:val="265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金额：   已付款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未付款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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已划卡□ 未划卡□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 xml:space="preserve">             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交件时间：         年    月    日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kern w:val="2"/>
          <w:sz w:val="22"/>
          <w:szCs w:val="22"/>
        </w:rPr>
        <w:t>特别提示：</w:t>
      </w: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 xml:space="preserve">请顾客仔细阅读合同的全部内容；本合同未盖经营者专用章无效。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顾客如实告知护理物品的有关情况；经营者如实告知可能产生的不良护理效果。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经营者按天津市地方标准《洗染业服务质量标准》（以下简称《标准》）提供皮革护理服务。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顾客持《凭证》取护理物品。《凭证》遗失，应及时持本人有效证件办理挂失和领取护理物品手续。否则因此造成的损失由顾客承担。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顾客持《凭证》取护理物品时，发现护理质量问题，应当场与经营者确认，否则顾客自行承担责任。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30" w:start="75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顾客逾期不取，如超过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个月，每日每件收取保管费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元，如超过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年未取，由顾客承担责任。经营者逾期不交，按《天津市洗染服务管理办法》第十七条规定执行。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关于原残的救治：救治好按规定收费、若不理想可适当减免部分服务费；但不负责对护理物品进行赔偿。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非保值的物品且属于经营者责任，使护理物品造成损失，赔偿顾客所交服务费的</w:t>
      </w:r>
      <w:r>
        <w:rPr>
          <w:rFonts w:eastAsia="方正书宋_GBK" w:cs="方正书宋_GBK" w:ascii="方正书宋_GBK" w:hAnsi="方正书宋_GBK"/>
          <w:sz w:val="22"/>
          <w:szCs w:val="22"/>
        </w:rPr>
        <w:t>1-3</w:t>
      </w:r>
      <w:r>
        <w:rPr>
          <w:rFonts w:ascii="方正书宋_GBK" w:hAnsi="方正书宋_GBK" w:cs="方正书宋_GBK" w:eastAsia="方正书宋_GBK"/>
          <w:sz w:val="22"/>
          <w:szCs w:val="22"/>
        </w:rPr>
        <w:t>倍（保值服务除外）。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上色物品只能与原色基本接近，不保证完全一致。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物品名称按外观标识登记，不做品牌真伪凭证。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顾客与经营者发生纠纷按《天津市洗染服务管理办法》第</w:t>
      </w:r>
      <w:r>
        <w:rPr>
          <w:rFonts w:eastAsia="方正书宋_GBK" w:cs="方正书宋_GBK" w:ascii="方正书宋_GBK" w:hAnsi="方正书宋_GBK"/>
          <w:sz w:val="22"/>
          <w:szCs w:val="22"/>
        </w:rPr>
        <w:t>19</w:t>
      </w:r>
      <w:r>
        <w:rPr>
          <w:rFonts w:ascii="方正书宋_GBK" w:hAnsi="方正书宋_GBK" w:cs="方正书宋_GBK" w:eastAsia="方正书宋_GBK"/>
          <w:sz w:val="22"/>
          <w:szCs w:val="22"/>
        </w:rPr>
        <w:t>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11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本合同有效期为一年，顾客与经营者另有约定的，从其约定。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经办人签字：            电话：                               顾客签字：            电话：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经营者盖章：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监制：天津市市场和质量监督管理委员会    天津市洗染行业协会</w:t>
      </w:r>
    </w:p>
    <w:sectPr>
      <w:footerReference w:type="even" r:id="rId2"/>
      <w:footerReference w:type="default" r:id="rId3"/>
      <w:type w:val="nextPage"/>
      <w:pgSz w:orient="landscape" w:w="16838" w:h="11906"/>
      <w:pgMar w:left="1440" w:right="1440" w:gutter="0" w:header="0" w:top="851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Arial"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5245" cy="16129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612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2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35pt;height:12.7pt;mso-wrap-distance-left:9.05pt;mso-wrap-distance-right:9.05pt;mso-wrap-distance-top:0pt;mso-wrap-distance-bottom:0pt;margin-top:0pt;mso-position-vertical-relative:text;margin-left:346.8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2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5245" cy="16129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612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1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35pt;height:12.7pt;mso-wrap-distance-left:9.05pt;mso-wrap-distance-right:9.05pt;mso-wrap-distance-top:0pt;mso-wrap-distance-bottom:0pt;margin-top:0pt;mso-position-vertical-relative:text;margin-left:346.8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1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rFonts w:ascii="Times New Roman" w:hAnsi="Times New Roman" w:cs="Times New Roman"/>
      <w:b/>
      <w:color w:val="000000"/>
      <w:kern w:val="0"/>
      <w:sz w:val="44"/>
      <w:szCs w:val="44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CharChar">
    <w:name w:val=" Char Char"/>
    <w:qFormat/>
    <w:rPr>
      <w:rFonts w:ascii="Calibri" w:hAnsi="Calibri" w:eastAsia="宋体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kern w:val="0"/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14">
    <w:name w:val="纯文本"/>
    <w:basedOn w:val="Normal"/>
    <w:qFormat/>
    <w:pPr/>
    <w:rPr>
      <w:rFonts w:ascii="宋体" w:hAnsi="宋体" w:cs="宋体"/>
      <w:szCs w:val="21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仿宋_GB2312;仿宋" w:hAnsi="仿宋_GB2312;仿宋" w:eastAsia="仿宋_GB2312;仿宋" w:cs="Times New Roman"/>
      <w:color w:val="000000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CharCharCharChar1Char">
    <w:name w:val=" Char Char Char Char Char Char1 Char"/>
    <w:basedOn w:val="Normal"/>
    <w:qFormat/>
    <w:pPr>
      <w:widowControl/>
      <w:spacing w:lineRule="exact" w:line="240" w:before="0" w:after="160"/>
      <w:jc w:val="start"/>
    </w:pPr>
    <w:rPr>
      <w:rFonts w:ascii="Arial" w:hAnsi="Arial" w:eastAsia="Times New Roman" w:cs="Verdana"/>
      <w:b/>
      <w:kern w:val="0"/>
      <w:sz w:val="24"/>
      <w:szCs w:val="3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2016-03-25T08:57:00Z</dcterms:created>
  <dc:creator>管理员</dc:creator>
  <dc:description/>
  <dc:language>zh-CN</dc:language>
  <cp:lastModifiedBy>袁弘信</cp:lastModifiedBy>
  <dcterms:modified xsi:type="dcterms:W3CDTF">2022-02-18T17:37:26Z</dcterms:modified>
  <cp:revision>7</cp:revision>
  <dc:subject/>
  <dc:title>天津市市场和质量监督管理委员会文件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