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rPr>
          <w:sz w:val="28"/>
          <w:szCs w:val="28"/>
        </w:rPr>
      </w:pPr>
      <w:r>
        <w:rPr>
          <w:sz w:val="28"/>
          <w:szCs w:val="28"/>
        </w:rPr>
        <w:t>JF-2000-009</w:t>
      </w:r>
    </w:p>
    <w:p>
      <w:pPr>
        <w:pStyle w:val="Normal"/>
        <w:snapToGrid w:val="false"/>
        <w:spacing w:lineRule="auto" w:line="360"/>
        <w:ind w:firstLine="420" w:end="0"/>
        <w:rPr>
          <w:rFonts w:ascii="方正小标宋简体" w:hAnsi="方正小标宋简体" w:eastAsia="方正小标宋简体"/>
          <w:sz w:val="28"/>
          <w:szCs w:val="21"/>
        </w:rPr>
      </w:pPr>
      <w:r>
        <w:rPr>
          <w:rFonts w:eastAsia="方正小标宋简体" w:ascii="方正小标宋简体" w:hAnsi="方正小标宋简体"/>
          <w:sz w:val="28"/>
          <w:szCs w:val="21"/>
        </w:rPr>
      </w:r>
    </w:p>
    <w:p>
      <w:pPr>
        <w:pStyle w:val="Normal"/>
        <w:snapToGrid w:val="false"/>
        <w:spacing w:lineRule="auto" w:line="360"/>
        <w:ind w:firstLine="420" w:end="0"/>
        <w:rPr>
          <w:rFonts w:ascii="方正小标宋简体" w:hAnsi="方正小标宋简体" w:eastAsia="方正小标宋简体"/>
          <w:szCs w:val="21"/>
        </w:rPr>
      </w:pPr>
      <w:r>
        <w:rPr>
          <w:rFonts w:eastAsia="方正小标宋简体" w:ascii="方正小标宋简体" w:hAnsi="方正小标宋简体"/>
          <w:szCs w:val="21"/>
        </w:rPr>
      </w:r>
    </w:p>
    <w:p>
      <w:pPr>
        <w:pStyle w:val="3"/>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天津市商品房买卖合同</w:t>
      </w:r>
    </w:p>
    <w:p>
      <w:pPr>
        <w:pStyle w:val="Normal"/>
        <w:snapToGrid w:val="false"/>
        <w:spacing w:lineRule="auto" w:line="360"/>
        <w:jc w:val="center"/>
        <w:rPr>
          <w:sz w:val="24"/>
        </w:rPr>
      </w:pPr>
      <w:r>
        <w:rPr>
          <w:sz w:val="24"/>
        </w:rPr>
        <w:t>TIANJIN COMMERCIAL HOUSE SALE CONTRACT</w:t>
      </w:r>
    </w:p>
    <w:p>
      <w:pPr>
        <w:pStyle w:val="Normal"/>
        <w:snapToGrid w:val="false"/>
        <w:spacing w:lineRule="auto" w:line="360"/>
        <w:ind w:firstLine="420" w:end="0"/>
        <w:rPr>
          <w:sz w:val="24"/>
          <w:szCs w:val="21"/>
        </w:rPr>
      </w:pPr>
      <w:r>
        <w:rPr>
          <w:sz w:val="24"/>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1680" w:end="0"/>
        <w:rPr>
          <w:sz w:val="28"/>
          <w:szCs w:val="28"/>
        </w:rPr>
      </w:pPr>
      <w:r>
        <w:rPr>
          <w:sz w:val="28"/>
          <w:szCs w:val="28"/>
        </w:rPr>
        <w:t>天津市工商行政管理局</w:t>
      </w:r>
      <w:r>
        <mc:AlternateContent>
          <mc:Choice Requires="wps">
            <w:drawing>
              <wp:anchor behindDoc="0" distT="0" distB="0" distL="114935" distR="114935" simplePos="0" locked="0" layoutInCell="1" allowOverlap="1" relativeHeight="19">
                <wp:simplePos x="0" y="0"/>
                <wp:positionH relativeFrom="column">
                  <wp:posOffset>2990850</wp:posOffset>
                </wp:positionH>
                <wp:positionV relativeFrom="paragraph">
                  <wp:posOffset>112395</wp:posOffset>
                </wp:positionV>
                <wp:extent cx="666750" cy="367665"/>
                <wp:effectExtent l="0" t="0" r="0" b="0"/>
                <wp:wrapNone/>
                <wp:docPr id="1" name="Frame1"/>
                <a:graphic xmlns:a="http://schemas.openxmlformats.org/drawingml/2006/main">
                  <a:graphicData uri="http://schemas.microsoft.com/office/word/2010/wordprocessingShape">
                    <wps:wsp>
                      <wps:cNvSpPr txBox="1"/>
                      <wps:spPr>
                        <a:xfrm>
                          <a:off x="0" y="0"/>
                          <a:ext cx="666750" cy="367665"/>
                        </a:xfrm>
                        <a:prstGeom prst="rect"/>
                        <a:solidFill>
                          <a:srgbClr val="FFFFFF">
                            <a:alpha val="0"/>
                          </a:srgbClr>
                        </a:solidFill>
                      </wps:spPr>
                      <wps:txbx>
                        <w:txbxContent>
                          <w:p>
                            <w:pPr>
                              <w:pStyle w:val="Normal"/>
                              <w:tabs>
                                <w:tab w:val="clear" w:pos="420"/>
                                <w:tab w:val="left" w:pos="630" w:leader="none"/>
                              </w:tabs>
                              <w:snapToGrid w:val="false"/>
                              <w:rPr>
                                <w:rFonts w:cs="宋体"/>
                                <w:bCs/>
                                <w:sz w:val="30"/>
                                <w:szCs w:val="30"/>
                              </w:rPr>
                            </w:pPr>
                            <w:r>
                              <w:rPr>
                                <w:rFonts w:cs="宋体"/>
                                <w:bCs/>
                                <w:sz w:val="30"/>
                                <w:szCs w:val="30"/>
                              </w:rPr>
                              <w:t>监制</w:t>
                            </w:r>
                          </w:p>
                        </w:txbxContent>
                      </wps:txbx>
                      <wps:bodyPr anchor="t" lIns="92075" tIns="46355" rIns="92075" bIns="46355">
                        <a:noAutofit/>
                      </wps:bodyPr>
                    </wps:wsp>
                  </a:graphicData>
                </a:graphic>
              </wp:anchor>
            </w:drawing>
          </mc:Choice>
          <mc:Fallback>
            <w:pict>
              <v:rect fillcolor="#FFFFFF" style="position:absolute;rotation:-0;width:52.5pt;height:28.95pt;mso-wrap-distance-left:9.05pt;mso-wrap-distance-right:9.05pt;mso-wrap-distance-top:0pt;mso-wrap-distance-bottom:0pt;margin-top:8.85pt;mso-position-vertical-relative:text;margin-left:235.5pt;mso-position-horizontal-relative:text">
                <v:fill opacity="0f"/>
                <v:textbox inset="0.100694444444444in,0.0506944444444444in,0.100694444444444in,0.0506944444444444in">
                  <w:txbxContent>
                    <w:p>
                      <w:pPr>
                        <w:pStyle w:val="Normal"/>
                        <w:tabs>
                          <w:tab w:val="clear" w:pos="420"/>
                          <w:tab w:val="left" w:pos="630" w:leader="none"/>
                        </w:tabs>
                        <w:snapToGrid w:val="false"/>
                        <w:rPr>
                          <w:rFonts w:cs="宋体"/>
                          <w:bCs/>
                          <w:sz w:val="30"/>
                          <w:szCs w:val="30"/>
                        </w:rPr>
                      </w:pPr>
                      <w:r>
                        <w:rPr>
                          <w:rFonts w:cs="宋体"/>
                          <w:bCs/>
                          <w:sz w:val="30"/>
                          <w:szCs w:val="30"/>
                        </w:rPr>
                        <w:t>监制</w:t>
                      </w:r>
                    </w:p>
                  </w:txbxContent>
                </v:textbox>
                <w10:wrap type="none"/>
              </v:rect>
            </w:pict>
          </mc:Fallback>
        </mc:AlternateContent>
      </w:r>
    </w:p>
    <w:p>
      <w:pPr>
        <w:pStyle w:val="Normal"/>
        <w:snapToGrid w:val="false"/>
        <w:spacing w:lineRule="auto" w:line="360"/>
        <w:ind w:firstLine="1664" w:end="0"/>
        <w:rPr>
          <w:spacing w:val="20"/>
          <w:sz w:val="28"/>
          <w:szCs w:val="28"/>
        </w:rPr>
      </w:pPr>
      <w:r>
        <w:rPr>
          <w:spacing w:val="20"/>
          <w:sz w:val="28"/>
          <w:szCs w:val="28"/>
        </w:rPr>
        <w:t>天津市房地产管理局</w:t>
      </w:r>
    </w:p>
    <w:p>
      <w:pPr>
        <w:pStyle w:val="Normal"/>
        <w:snapToGrid w:val="false"/>
        <w:spacing w:lineRule="auto" w:line="360"/>
        <w:ind w:firstLine="420" w:end="0"/>
        <w:rPr>
          <w:spacing w:val="20"/>
          <w:sz w:val="28"/>
          <w:szCs w:val="21"/>
        </w:rPr>
      </w:pPr>
      <w:r>
        <w:rPr>
          <w:spacing w:val="20"/>
          <w:sz w:val="28"/>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3"/>
        <w:rPr/>
      </w:pPr>
      <w:r>
        <w:rPr>
          <w:rFonts w:ascii="方正黑体_GBK" w:hAnsi="方正黑体_GBK" w:cs="方正黑体_GBK" w:eastAsia="方正黑体_GBK"/>
          <w:sz w:val="28"/>
          <w:szCs w:val="28"/>
        </w:rPr>
        <w:t>填  写  说  明</w:t>
      </w:r>
    </w:p>
    <w:p>
      <w:pPr>
        <w:pStyle w:val="Normal"/>
        <w:snapToGrid w:val="false"/>
        <w:spacing w:lineRule="auto" w:line="360"/>
        <w:ind w:firstLine="420" w:end="0"/>
        <w:rPr>
          <w:szCs w:val="21"/>
        </w:rPr>
      </w:pPr>
      <w:r>
        <w:rPr>
          <w:szCs w:val="21"/>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、合同当事人订立合同前，须认真协商各项条款。合同一经签字或盖章即生效（当事人另有约定的除外），任何条款的变更须经双方协商一致后，签字或盖章确认。</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、合同应当用钢笔、毛笔、签字笔及打印填写，空格部分若为空白句，应用“</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划掉。涂改之处，须经合同当事人签字或盖章确认。</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、合同自订立之日起</w:t>
      </w:r>
      <w:r>
        <w:rPr>
          <w:rFonts w:eastAsia="方正书宋_GBK" w:cs="方正书宋_GBK" w:ascii="方正书宋_GBK" w:hAnsi="方正书宋_GBK"/>
          <w:sz w:val="22"/>
          <w:szCs w:val="22"/>
        </w:rPr>
        <w:t>30</w:t>
      </w:r>
      <w:r>
        <w:rPr>
          <w:rFonts w:ascii="方正书宋_GBK" w:hAnsi="方正书宋_GBK" w:cs="方正书宋_GBK" w:eastAsia="方正书宋_GBK"/>
          <w:sz w:val="22"/>
          <w:szCs w:val="22"/>
        </w:rPr>
        <w:t>日内，当事人应到商品房买卖合同登记备案机关登记备案。合同发生重大变更、解除及合同文本遗失的，应及时到原备案机关办理相关手续。</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购房人购买的商品房正在新建商品房预售资金监管中的，按照本合同约定支付的房价款应存入房地产开发企业开立的新建商品房预售资金监管账户。</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、本合同不得翻印。</w:t>
      </w:r>
    </w:p>
    <w:p>
      <w:pPr>
        <w:pStyle w:val="Normal"/>
        <w:snapToGrid w:val="false"/>
        <w:spacing w:lineRule="auto" w:line="360"/>
        <w:ind w:firstLine="420" w:end="0"/>
        <w:rPr>
          <w:rFonts w:ascii="方正书宋_GBK" w:hAnsi="方正书宋_GBK" w:eastAsia="方正书宋_GBK" w:cs="方正书宋_GBK"/>
          <w:sz w:val="22"/>
          <w:szCs w:val="21"/>
        </w:rPr>
      </w:pPr>
      <w:r>
        <w:rPr>
          <w:rFonts w:eastAsia="方正书宋_GBK" w:cs="方正书宋_GBK" w:ascii="方正书宋_GBK" w:hAnsi="方正书宋_GBK"/>
          <w:sz w:val="22"/>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3780" w:end="0"/>
        <w:rPr>
          <w:szCs w:val="21"/>
        </w:rPr>
      </w:pPr>
      <w:r>
        <w:rPr>
          <w:szCs w:val="21"/>
        </w:rPr>
      </w:r>
    </w:p>
    <w:p>
      <w:pPr>
        <w:pStyle w:val="Normal"/>
        <w:snapToGrid w:val="false"/>
        <w:spacing w:lineRule="auto" w:line="360"/>
        <w:ind w:firstLine="3780" w:end="0"/>
        <w:rPr>
          <w:szCs w:val="21"/>
        </w:rPr>
      </w:pPr>
      <w:r>
        <w:rPr>
          <w:szCs w:val="21"/>
        </w:rPr>
      </w:r>
    </w:p>
    <w:p>
      <w:pPr>
        <w:pStyle w:val="Normal"/>
        <w:snapToGrid w:val="false"/>
        <w:spacing w:lineRule="auto" w:line="360"/>
        <w:ind w:firstLine="3780" w:end="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ind w:firstLine="3780" w:end="0"/>
        <w:rPr>
          <w:szCs w:val="21"/>
        </w:rPr>
      </w:pPr>
      <w:r>
        <w:rPr>
          <w:szCs w:val="21"/>
        </w:rPr>
      </w:r>
    </w:p>
    <w:p>
      <w:pPr>
        <w:pStyle w:val="Normal"/>
        <w:snapToGrid w:val="false"/>
        <w:spacing w:lineRule="auto" w:line="360"/>
        <w:ind w:firstLine="3780" w:end="0"/>
        <w:rPr>
          <w:szCs w:val="21"/>
          <w:u w:val="single"/>
        </w:rPr>
      </w:pPr>
      <w:r>
        <w:rPr>
          <w:szCs w:val="21"/>
        </w:rPr>
        <w:t>合同编号：</w:t>
      </w:r>
      <w:r>
        <w:rPr>
          <w:rFonts w:eastAsia="Times New Roman"/>
          <w:szCs w:val="21"/>
          <w:u w:val="single"/>
        </w:rPr>
        <w:t xml:space="preserve">                </w:t>
      </w:r>
    </w:p>
    <w:p>
      <w:pPr>
        <w:pStyle w:val="3"/>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天津市商品房买卖合同</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出卖人（以下简称甲方）：</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法定代表人：</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联系电话：</w:t>
      </w:r>
      <w:r>
        <w:rPr>
          <w:rFonts w:ascii="方正书宋_GBK" w:hAnsi="方正书宋_GBK" w:cs="方正书宋_GBK" w:eastAsia="方正书宋_GBK"/>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注册地址：</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 xml:space="preserve">  邮政编码：</w:t>
      </w:r>
      <w:r>
        <w:rPr>
          <w:rFonts w:ascii="方正书宋_GBK" w:hAnsi="方正书宋_GBK" w:cs="方正书宋_GBK" w:eastAsia="方正书宋_GBK"/>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营业执照号码：</w:t>
      </w:r>
      <w:r>
        <w:rPr>
          <w:rFonts w:ascii="方正书宋_GBK" w:hAnsi="方正书宋_GBK" w:cs="方正书宋_GBK" w:eastAsia="方正书宋_GBK"/>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开户行：</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none"/>
          <w:lang w:val="en-US" w:eastAsia="zh-CN"/>
        </w:rPr>
        <w:t xml:space="preserve">  </w:t>
      </w:r>
      <w:r>
        <w:rPr>
          <w:rFonts w:ascii="方正书宋_GBK" w:hAnsi="方正书宋_GBK" w:cs="方正书宋_GBK" w:eastAsia="方正书宋_GBK"/>
          <w:sz w:val="22"/>
          <w:szCs w:val="22"/>
        </w:rPr>
        <w:t>帐号：</w:t>
      </w:r>
      <w:r>
        <w:rPr>
          <w:rFonts w:ascii="方正书宋_GBK" w:hAnsi="方正书宋_GBK" w:cs="方正书宋_GBK" w:eastAsia="方正书宋_GBK"/>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委托代理人（房地产经纪机构）：</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法定代表人：</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注册地址：</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营业执照号码：</w:t>
      </w:r>
      <w:r>
        <w:rPr>
          <w:rFonts w:ascii="方正书宋_GBK" w:hAnsi="方正书宋_GBK" w:cs="方正书宋_GBK" w:eastAsia="方正书宋_GBK"/>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房地产经纪机构资格证书编号：</w:t>
      </w:r>
      <w:r>
        <w:rPr>
          <w:rFonts w:ascii="方正书宋_GBK" w:hAnsi="方正书宋_GBK" w:cs="方正书宋_GBK" w:eastAsia="方正书宋_GBK"/>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开户行：</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帐号：</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买受人（以下简称乙方）：</w:t>
      </w:r>
      <w:r>
        <w:rPr>
          <w:rFonts w:ascii="方正书宋_GBK" w:hAnsi="方正书宋_GBK" w:cs="方正书宋_GBK" w:eastAsia="方正书宋_GBK"/>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国籍</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法定代表人：</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身份证（护照）</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营业执照号码：</w:t>
      </w:r>
      <w:r>
        <w:rPr>
          <w:rFonts w:ascii="方正书宋_GBK" w:hAnsi="方正书宋_GBK" w:cs="方正书宋_GBK" w:eastAsia="方正书宋_GBK"/>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地址：</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联系电话：</w:t>
      </w:r>
      <w:r>
        <w:rPr>
          <w:rFonts w:ascii="方正书宋_GBK" w:hAnsi="方正书宋_GBK" w:cs="方正书宋_GBK" w:eastAsia="方正书宋_GBK"/>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委托代理人：</w:t>
      </w:r>
      <w:r>
        <w:rPr>
          <w:rFonts w:ascii="方正书宋_GBK" w:hAnsi="方正书宋_GBK" w:cs="方正书宋_GBK" w:eastAsia="方正书宋_GBK"/>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lang w:val="en-US" w:eastAsia="zh-CN"/>
        </w:rPr>
      </w:pPr>
      <w:r>
        <w:rPr>
          <w:rFonts w:ascii="方正书宋_GBK" w:hAnsi="方正书宋_GBK" w:cs="方正书宋_GBK" w:eastAsia="方正书宋_GBK"/>
          <w:sz w:val="22"/>
          <w:szCs w:val="22"/>
        </w:rPr>
        <w:t>国籍</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法定代表人：</w:t>
      </w:r>
      <w:r>
        <w:rPr>
          <w:rFonts w:ascii="方正书宋_GBK" w:hAnsi="方正书宋_GBK" w:cs="方正书宋_GBK" w:eastAsia="方正书宋_GBK"/>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身份证（护照）</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营业执照号码：</w:t>
      </w:r>
      <w:r>
        <w:rPr>
          <w:rFonts w:ascii="方正书宋_GBK" w:hAnsi="方正书宋_GBK" w:cs="方正书宋_GBK" w:eastAsia="方正书宋_GBK"/>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地址：</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联系电话：</w:t>
      </w:r>
      <w:r>
        <w:rPr>
          <w:rFonts w:ascii="方正书宋_GBK" w:hAnsi="方正书宋_GBK" w:cs="方正书宋_GBK" w:eastAsia="方正书宋_GBK"/>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lang w:val="en-US" w:eastAsia="zh-CN"/>
        </w:rPr>
      </w:pPr>
      <w:r>
        <w:rPr>
          <w:rFonts w:eastAsia="方正书宋_GBK" w:cs="方正书宋_GBK" w:ascii="方正书宋_GBK" w:hAnsi="方正书宋_GBK"/>
          <w:sz w:val="22"/>
          <w:szCs w:val="22"/>
          <w:lang w:val="en-US" w:eastAsia="zh-CN"/>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根据《中华人民共和国合同法》、《中华人民共和国城市房地产管理法》等有关法律、法规的规定，甲乙双方遵循平等、自愿、公平、诚实信用、守法的原则，经协商一致，达成如下条款：</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第一条</w:t>
      </w:r>
      <w:r>
        <w:rPr>
          <w:rFonts w:eastAsia="方正黑体_GBK" w:cs="方正黑体_GBK" w:ascii="方正黑体_GBK" w:hAnsi="方正黑体_GBK"/>
          <w:sz w:val="22"/>
          <w:szCs w:val="22"/>
        </w:rPr>
        <w:tab/>
        <w:t xml:space="preserve"> </w:t>
      </w:r>
      <w:r>
        <w:rPr>
          <w:rFonts w:ascii="方正黑体_GBK" w:hAnsi="方正黑体_GBK" w:cs="方正黑体_GBK" w:eastAsia="方正黑体_GBK"/>
          <w:sz w:val="22"/>
          <w:szCs w:val="22"/>
        </w:rPr>
        <w:t>商品房情况</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该商品房销售许可证号：</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商品房座落：</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区、县</w:t>
      </w:r>
      <w:r>
        <w:rPr>
          <w:rFonts w:ascii="方正书宋_GBK" w:hAnsi="方正书宋_GBK" w:cs="方正书宋_GBK" w:eastAsia="方正书宋_GBK"/>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路、道、街</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设计用途</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，建筑结构</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，建筑层数为</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层。建筑面积</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平方米，其中：套内建筑面积</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平方米，公共部位分摊建筑面积</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平方米。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商品房平面图见附件一，商品房抵押、租赁等情况见附件二。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商品房土地来源为：</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。以出让方式取得土地使用权的，土地使用年限自</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日至</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日止。</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第二条</w:t>
      </w:r>
      <w:r>
        <w:rPr>
          <w:rFonts w:ascii="方正黑体_GBK" w:hAnsi="方正黑体_GBK" w:cs="方正黑体_GBK" w:eastAsia="方正黑体_GBK"/>
          <w:sz w:val="22"/>
          <w:szCs w:val="22"/>
        </w:rPr>
        <w:t xml:space="preserve">  商品房价款</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商品房销售按建筑面积计算，每平方米价格为</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元（币种：</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），价款为</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元，计</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（大写）。</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第三条  商品房交付日期</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商品房竣工，经验收合格后，方可交付；未经验收或验收不合格的，不得交付。甲方于</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日前，将商品房交付乙方。如遇不可抗力，不能履行合同的，双方同意按下列第</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种方式处理：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、变更合同。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、解除合同。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黑体_GBK" w:hAnsi="方正黑体_GBK" w:cs="方正黑体_GBK" w:eastAsia="方正黑体_GBK"/>
          <w:sz w:val="22"/>
          <w:szCs w:val="22"/>
        </w:rPr>
        <w:t>第四条</w:t>
      </w:r>
      <w:r>
        <w:rPr>
          <w:rStyle w:val="2Char"/>
          <w:rFonts w:eastAsia="方正黑体_GBK" w:cs="方正黑体_GBK" w:ascii="方正黑体_GBK" w:hAnsi="方正黑体_GBK"/>
          <w:sz w:val="22"/>
          <w:szCs w:val="22"/>
        </w:rPr>
        <w:tab/>
        <w:t xml:space="preserve"> </w:t>
      </w:r>
      <w:r>
        <w:rPr>
          <w:rStyle w:val="2Char"/>
          <w:rFonts w:ascii="方正黑体_GBK" w:hAnsi="方正黑体_GBK" w:cs="方正黑体_GBK" w:eastAsia="方正黑体_GBK"/>
          <w:sz w:val="22"/>
          <w:szCs w:val="22"/>
        </w:rPr>
        <w:t>乙方付款形式及付款时间</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双方约定，乙方按下列第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种形式付款，商品房正在新建商品房预售资金监管中的，乙方应将全部商品房价款存入甲方新建商品房预售资金监管账号：</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、一次性付款的，乙方应于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日前，一次性存入商品房全部价款元。</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、货款付款的，乙方应于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日前，一次性存入商品房首付款</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元，其余价款办理货款。</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、分期付款的，乙方应于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日前，一次性存入商品房首付款</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日前，一次性存入商品房二次付款</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日前，一次性存入商品房尾款</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第五条  甲方逾期交付商品房的处理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除遇不可抗力外，甲方如未按本合同第三条约定日期交付商品房，逾期在</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日内的，乙方有权向甲方追究已付款利息，利息自合同约定甲方应交付商品房之日次日起至实际交付商品房之日止，按银行同期贷款利率计算。</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如超过上述约定期限的，乙方有权按照下述的第</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种约定，追究甲方违约责任：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、合同继续履行。甲方应支付乙方已付款利息，利息自合同约定甲方应交付商品房之日次日起至实际交付商品房之日止，按银行同期贷款利率计算。此外，甲方还应每日按商品房价款的</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向乙方支付违约金。</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、解除合同。甲方应退还乙方已付款、支付已付款利息，利息自合同约定甲方应交付商品房之日次日起至甲方退还乙方已付款之日止，按银行同期贷款利率计算。此外，甲方还应每日按商品房价款的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向乙方支付违约金。乙方的实际损失超过甲方支付的违约金时，甲方还应承担赔偿责任。</w:t>
      </w:r>
    </w:p>
    <w:p>
      <w:pPr>
        <w:pStyle w:val="Normal"/>
        <w:keepNext w:val="false"/>
        <w:keepLines w:val="false"/>
        <w:pageBreakBefore w:val="false"/>
        <w:widowControl w:val="false"/>
        <w:kinsoku w:val="true"/>
        <w:overflowPunct w:val="true"/>
        <w:autoSpaceDE w:val="true"/>
        <w:bidi w:val="0"/>
        <w:snapToGrid w:val="false"/>
        <w:spacing w:lineRule="exact" w:line="420"/>
        <w:ind w:hanging="660" w:start="66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黑体_GBK" w:hAnsi="方正黑体_GBK" w:cs="方正黑体_GBK" w:eastAsia="方正黑体_GBK"/>
          <w:sz w:val="22"/>
          <w:szCs w:val="22"/>
        </w:rPr>
        <w:t>第六条  乙方逾期付款的处理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乙方如未按本合同第四条约定日期付款，逾期在</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日内的，甲方有权追究乙方逾期付款及其利息，利息自合同约定乙方应付款之日次日起至实际付款之日止，按银行同期贷款利率计算。</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如超过上述约定期限的，甲方有权按照下述的第</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种约定，追究乙方违约责任：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、合同继续履行。乙方应支付逾期付款及其利息，利息自合同约定乙方应付款之日次日起至实际付款之日止，按银行同期贷款利率计算。此外，乙方还应每日按商品房价款的</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向甲方支付违约金。</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、解除合同。乙方应每日按商品房价款的</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向甲方支付违约金。</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hanging="220" w:start="2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第七条  商品房建筑面积与销售建筑面积差异的处理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商品房建筑面积以房屋所有权证记载面积为法定依据。商品房建筑面积与甲方销售建筑面积差异不超过</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％（包括</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％）的，每平方米价格保持不变，商品房价款按商品房建筑面积与销售建筑面积的差异多退少补。面积差异超过</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 xml:space="preserve">％的，双方约定如下：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黑体_GBK" w:hAnsi="方正黑体_GBK" w:cs="方正黑体_GBK" w:eastAsia="方正黑体_GBK"/>
          <w:sz w:val="22"/>
          <w:szCs w:val="22"/>
        </w:rPr>
        <w:t>第八条</w:t>
      </w:r>
      <w:r>
        <w:rPr>
          <w:rFonts w:ascii="方正黑体_GBK" w:hAnsi="方正黑体_GBK" w:cs="方正黑体_GBK" w:eastAsia="方正黑体_GBK"/>
          <w:sz w:val="22"/>
          <w:szCs w:val="22"/>
        </w:rPr>
        <w:t xml:space="preserve">  商品房质量及保修责任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甲方交付的商品房的质量和设备等应符合国家有关规定和甲方的承诺（见附件三），未达到国家规定标准和承诺的，甲方应承担责任。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在乙方正常使用情况下，甲方应按照《天津市商品住宅质量保证书》的规定履行保修责任。因乙方擅自拆改造成损坏的，甲方不承担责任。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第九条  商品房配套设施运行的约定</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下列配套设施运行日期约定如下：</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、上水</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、下水</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、供电</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、燃气（气源种类）</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、暖气</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上述配套设施未按约定日期运行的，甲方应在</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日内采取补救措施，并赔偿乙方损失；超过上述约定期限的，甲方应赔偿损失，并且每项还应按商品房价款的</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％向乙方支付违约金。</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第十条</w:t>
      </w:r>
      <w:r>
        <w:rPr>
          <w:rFonts w:eastAsia="方正书宋_GBK" w:cs="方正书宋_GBK" w:ascii="方正书宋_GBK" w:hAnsi="方正书宋_GBK"/>
          <w:sz w:val="22"/>
          <w:szCs w:val="22"/>
        </w:rPr>
        <w:tab/>
        <w:t xml:space="preserve"> </w:t>
      </w:r>
      <w:r>
        <w:rPr>
          <w:rFonts w:ascii="方正书宋_GBK" w:hAnsi="方正书宋_GBK" w:cs="方正书宋_GBK" w:eastAsia="方正书宋_GBK"/>
          <w:sz w:val="22"/>
          <w:szCs w:val="22"/>
        </w:rPr>
        <w:t>商品房设计变更的约定</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甲方未征得乙方同意，不得擅自变更商品房的房屋设计和环境布局（见附件四）。确需变更的，甲方应自设计变更方案确定之日起</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日内与乙方协商。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乙方同意变更的，双方订立补充合同。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不同意变更，或甲方擅自变更的，乙方有权解除合同。解除合同的，甲方应退还乙方已付款、支付已付款的利息，利息自乙方付款之日次日起至甲方退还乙方已付款之日止，按银行同期贷款利率计算。此外，甲方还应按商品房价款的</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％向乙方支付违约金。</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第十一条</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商品房交接</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商品房交付时，甲方应书面通知乙方办理商品房交接手续，提供《天津市商品住宅质量保证书》和《天津市商品住宅使用说明书》，交接房屋钥匙。</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第十二条</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商品房产权登记</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商品房竣工验收合格后，甲方须在</w:t>
      </w:r>
      <w:r>
        <w:rPr>
          <w:rFonts w:eastAsia="方正书宋_GBK" w:cs="方正书宋_GBK" w:ascii="方正书宋_GBK" w:hAnsi="方正书宋_GBK"/>
          <w:sz w:val="22"/>
          <w:szCs w:val="22"/>
        </w:rPr>
        <w:t>30</w:t>
      </w:r>
      <w:r>
        <w:rPr>
          <w:rFonts w:ascii="方正书宋_GBK" w:hAnsi="方正书宋_GBK" w:cs="方正书宋_GBK" w:eastAsia="方正书宋_GBK"/>
          <w:sz w:val="22"/>
          <w:szCs w:val="22"/>
        </w:rPr>
        <w:t>日内办理房屋所有权初始登记。</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初始登记完毕后，甲方应在</w:t>
      </w:r>
      <w:r>
        <w:rPr>
          <w:rFonts w:eastAsia="方正书宋_GBK" w:cs="方正书宋_GBK" w:ascii="方正书宋_GBK" w:hAnsi="方正书宋_GBK"/>
          <w:sz w:val="22"/>
          <w:szCs w:val="22"/>
        </w:rPr>
        <w:t>180</w:t>
      </w:r>
      <w:r>
        <w:rPr>
          <w:rFonts w:ascii="方正书宋_GBK" w:hAnsi="方正书宋_GBK" w:cs="方正书宋_GBK" w:eastAsia="方正书宋_GBK"/>
          <w:sz w:val="22"/>
          <w:szCs w:val="22"/>
        </w:rPr>
        <w:t>日内，及时协助乙方办结房屋所有权转移登记。</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甲方未按时办理房屋所有权初始登记或未在约定期限内协助乙方办结房屋所有权转移登记的，按下列第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种约定处理：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、合同继续履行。甲方应按商品房价款的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向乙方支付违约金。</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、解除合同。甲方应退还乙方已付款、支付已付款利息，利息自乙方付款之日次日起至甲方退还乙方已付款之日止，按银行同期贷款利率计算。此外，甲方还应按商品房价款的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向乙方支付违约金。</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第十三条</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物业管理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关于物业管理的服务内容和收费标准等，按有关规定由乙方与物业管理企业订立物业管理合同。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第十四条</w:t>
      </w:r>
      <w:r>
        <w:rPr>
          <w:rFonts w:ascii="方正书宋_GBK" w:hAnsi="方正书宋_GBK" w:cs="方正书宋_GBK" w:eastAsia="方正书宋_GBK"/>
          <w:sz w:val="22"/>
          <w:szCs w:val="22"/>
        </w:rPr>
        <w:t>　产权纠纷和债权债务纠纷的约定</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甲方保证在交付商品房时，无产权纠纷和债权债务纠纷。如存在产权纠纷和债权债务纠纷，由甲方承担全部责任。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第十五条</w:t>
      </w:r>
      <w:r>
        <w:rPr>
          <w:rFonts w:ascii="方正书宋_GBK" w:hAnsi="方正书宋_GBK" w:cs="方正书宋_GBK" w:eastAsia="方正书宋_GBK"/>
          <w:sz w:val="22"/>
          <w:szCs w:val="22"/>
        </w:rPr>
        <w:t>　争议处理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本合同发生争议，甲乙双方应协商解决。协商不成时，按下列第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种方式处理：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、向</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仲裁委员会申请仲裁；</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、向人民法院提起诉讼。</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第十六条</w:t>
      </w:r>
      <w:r>
        <w:rPr>
          <w:rFonts w:ascii="方正书宋_GBK" w:hAnsi="方正书宋_GBK" w:cs="方正书宋_GBK" w:eastAsia="方正书宋_GBK"/>
          <w:sz w:val="22"/>
          <w:szCs w:val="22"/>
        </w:rPr>
        <w:t>　合同附件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本合同未尽事宜，甲乙双方另行订立补充合同（见附件五）。</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附件一至附件五均为本合同不可分割的部分，具有同等效力。</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第十七条</w:t>
      </w:r>
      <w:r>
        <w:rPr>
          <w:rFonts w:ascii="方正书宋_GBK" w:hAnsi="方正书宋_GBK" w:cs="方正书宋_GBK" w:eastAsia="方正书宋_GBK"/>
          <w:sz w:val="22"/>
          <w:szCs w:val="22"/>
        </w:rPr>
        <w:t>　合同份数</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本合同连同附件共</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页，一式五份，甲、乙双方各执一份，备案机关存留一份，其他二份备用，具有同等效力。</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第十八条</w:t>
      </w:r>
      <w:r>
        <w:rPr>
          <w:rFonts w:ascii="方正书宋_GBK" w:hAnsi="方正书宋_GBK" w:cs="方正书宋_GBK" w:eastAsia="方正书宋_GBK"/>
          <w:sz w:val="22"/>
          <w:szCs w:val="22"/>
        </w:rPr>
        <w:t>　合同生效</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本合同自甲乙双方签字或盖章之日起生效。当事人另有约定的，按照其约定。</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　　　　　　　　          乙方：</w:t>
      </w:r>
    </w:p>
    <w:p>
      <w:pPr>
        <w:pStyle w:val="Normal"/>
        <w:keepNext w:val="false"/>
        <w:keepLines w:val="false"/>
        <w:pageBreakBefore w:val="false"/>
        <w:widowControl w:val="false"/>
        <w:kinsoku w:val="true"/>
        <w:overflowPunct w:val="true"/>
        <w:autoSpaceDE w:val="true"/>
        <w:bidi w:val="0"/>
        <w:snapToGrid w:val="false"/>
        <w:spacing w:lineRule="exact" w:line="420"/>
        <w:ind w:firstLine="33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年　　月　　日　　　　          年　　月　　日</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　　　　　          委托代理人：</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33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年　　月　　日　　　　          年　　月　　日</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60"/>
        <w:ind w:firstLine="420" w:end="0"/>
        <w:rPr>
          <w:rFonts w:ascii="方正书宋_GBK" w:hAnsi="方正书宋_GBK" w:eastAsia="方正书宋_GBK" w:cs="方正书宋_GBK"/>
          <w:sz w:val="22"/>
          <w:szCs w:val="21"/>
        </w:rPr>
      </w:pPr>
      <w:r>
        <w:rPr>
          <w:rFonts w:eastAsia="方正书宋_GBK" w:cs="方正书宋_GBK" w:ascii="方正书宋_GBK" w:hAnsi="方正书宋_GBK"/>
          <w:sz w:val="22"/>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附件一：商品房屋平面图</w:t>
      </w:r>
    </w:p>
    <w:p>
      <w:pPr>
        <w:pStyle w:val="Normal"/>
        <w:snapToGrid w:val="false"/>
        <w:spacing w:lineRule="auto" w:line="360"/>
        <w:ind w:firstLine="420" w:end="0"/>
        <w:rPr>
          <w:szCs w:val="21"/>
        </w:rPr>
      </w:pPr>
      <w:r>
        <w:rPr>
          <w:szCs w:val="21"/>
        </w:rPr>
        <w:t>附：商品房方位图；分门分层平面图（１∶</w:t>
      </w:r>
      <w:r>
        <w:rPr>
          <w:szCs w:val="21"/>
        </w:rPr>
        <w:t>100</w:t>
      </w:r>
      <w:r>
        <w:rPr>
          <w:szCs w:val="21"/>
        </w:rPr>
        <w:t>或１∶</w:t>
      </w:r>
      <w:r>
        <w:rPr>
          <w:szCs w:val="21"/>
        </w:rPr>
        <w:t>200</w:t>
      </w:r>
      <w:r>
        <w:rPr>
          <w:szCs w:val="21"/>
        </w:rPr>
        <w:t>），将该商品房圈红，加盖骑缝章。</w:t>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附件二：商品房抵押、租赁等情况</w:t>
      </w:r>
    </w:p>
    <w:p>
      <w:pPr>
        <w:pStyle w:val="BodyTextIndent"/>
        <w:tabs>
          <w:tab w:val="clear" w:pos="420"/>
          <w:tab w:val="left" w:pos="0" w:leader="none"/>
        </w:tabs>
        <w:spacing w:lineRule="auto" w:line="360"/>
        <w:ind w:start="0" w:end="0"/>
        <w:rPr>
          <w:rFonts w:ascii="Times New Roman" w:hAnsi="Times New Roman" w:eastAsia="宋体"/>
          <w:spacing w:val="0"/>
          <w:sz w:val="21"/>
          <w:szCs w:val="21"/>
          <w:u w:val="dash"/>
        </w:rPr>
      </w:pPr>
      <w:r>
        <w:rPr>
          <w:rFonts w:ascii="Times New Roman" w:hAnsi="Times New Roman" w:eastAsia="Times New Roman"/>
          <w:spacing w:val="0"/>
          <w:sz w:val="21"/>
          <w:szCs w:val="21"/>
          <w:u w:val="dash"/>
        </w:rPr>
        <w:t xml:space="preserve">                                                             </w:t>
      </w:r>
    </w:p>
    <w:p>
      <w:pPr>
        <w:pStyle w:val="BodyTextIndent"/>
        <w:tabs>
          <w:tab w:val="clear" w:pos="420"/>
          <w:tab w:val="left" w:pos="0" w:leader="none"/>
        </w:tabs>
        <w:spacing w:lineRule="auto" w:line="360"/>
        <w:ind w:start="0" w:end="0"/>
        <w:rPr>
          <w:rFonts w:ascii="Times New Roman" w:hAnsi="Times New Roman" w:eastAsia="宋体"/>
          <w:spacing w:val="0"/>
          <w:sz w:val="21"/>
          <w:szCs w:val="21"/>
          <w:u w:val="dash"/>
        </w:rPr>
      </w:pP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p>
    <w:p>
      <w:pPr>
        <w:pStyle w:val="BodyTextIndent"/>
        <w:tabs>
          <w:tab w:val="clear" w:pos="420"/>
          <w:tab w:val="left" w:pos="0" w:leader="none"/>
        </w:tabs>
        <w:spacing w:lineRule="auto" w:line="360"/>
        <w:ind w:start="0" w:end="0"/>
        <w:rPr>
          <w:rFonts w:ascii="Times New Roman" w:hAnsi="Times New Roman" w:eastAsia="宋体"/>
          <w:spacing w:val="0"/>
          <w:sz w:val="21"/>
          <w:szCs w:val="21"/>
          <w:u w:val="dash"/>
        </w:rPr>
      </w:pP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p>
    <w:p>
      <w:pPr>
        <w:pStyle w:val="BodyTextIndent"/>
        <w:tabs>
          <w:tab w:val="clear" w:pos="420"/>
          <w:tab w:val="left" w:pos="0" w:leader="none"/>
        </w:tabs>
        <w:spacing w:lineRule="auto" w:line="360"/>
        <w:ind w:start="0" w:end="0"/>
        <w:rPr>
          <w:rFonts w:ascii="Times New Roman" w:hAnsi="Times New Roman" w:eastAsia="宋体"/>
          <w:spacing w:val="0"/>
          <w:sz w:val="21"/>
          <w:szCs w:val="21"/>
          <w:u w:val="dash"/>
        </w:rPr>
      </w:pP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p>
    <w:p>
      <w:pPr>
        <w:pStyle w:val="BodyTextIndent"/>
        <w:tabs>
          <w:tab w:val="clear" w:pos="420"/>
          <w:tab w:val="left" w:pos="0" w:leader="none"/>
        </w:tabs>
        <w:spacing w:lineRule="auto" w:line="360"/>
        <w:ind w:start="0" w:end="0"/>
        <w:rPr>
          <w:rFonts w:ascii="Times New Roman" w:hAnsi="Times New Roman" w:eastAsia="宋体"/>
          <w:spacing w:val="0"/>
          <w:sz w:val="21"/>
          <w:szCs w:val="21"/>
          <w:u w:val="dash"/>
        </w:rPr>
      </w:pP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p>
    <w:p>
      <w:pPr>
        <w:pStyle w:val="BodyTextIndent"/>
        <w:tabs>
          <w:tab w:val="clear" w:pos="420"/>
          <w:tab w:val="left" w:pos="0" w:leader="none"/>
        </w:tabs>
        <w:spacing w:lineRule="auto" w:line="360"/>
        <w:ind w:start="0" w:end="0"/>
        <w:rPr>
          <w:rFonts w:ascii="Times New Roman" w:hAnsi="Times New Roman" w:eastAsia="宋体"/>
          <w:spacing w:val="0"/>
          <w:sz w:val="21"/>
          <w:szCs w:val="21"/>
          <w:u w:val="dash"/>
        </w:rPr>
      </w:pP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p>
    <w:p>
      <w:pPr>
        <w:pStyle w:val="BodyTextIndent"/>
        <w:tabs>
          <w:tab w:val="clear" w:pos="420"/>
          <w:tab w:val="left" w:pos="0" w:leader="none"/>
        </w:tabs>
        <w:spacing w:lineRule="auto" w:line="360"/>
        <w:ind w:start="0" w:end="0"/>
        <w:rPr>
          <w:rFonts w:ascii="Times New Roman" w:hAnsi="Times New Roman" w:eastAsia="宋体"/>
          <w:spacing w:val="0"/>
          <w:sz w:val="21"/>
          <w:szCs w:val="21"/>
          <w:u w:val="dash"/>
        </w:rPr>
      </w:pP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p>
    <w:p>
      <w:pPr>
        <w:pStyle w:val="BodyTextIndent"/>
        <w:tabs>
          <w:tab w:val="clear" w:pos="420"/>
          <w:tab w:val="left" w:pos="0" w:leader="none"/>
        </w:tabs>
        <w:spacing w:lineRule="auto" w:line="360"/>
        <w:ind w:start="0" w:end="0"/>
        <w:rPr>
          <w:rFonts w:ascii="Times New Roman" w:hAnsi="Times New Roman" w:eastAsia="宋体"/>
          <w:spacing w:val="0"/>
          <w:sz w:val="21"/>
          <w:szCs w:val="21"/>
          <w:u w:val="dash"/>
        </w:rPr>
      </w:pP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p>
    <w:p>
      <w:pPr>
        <w:pStyle w:val="BodyTextIndent"/>
        <w:tabs>
          <w:tab w:val="clear" w:pos="420"/>
          <w:tab w:val="left" w:pos="0" w:leader="none"/>
        </w:tabs>
        <w:spacing w:lineRule="auto" w:line="360"/>
        <w:ind w:start="0" w:end="0"/>
        <w:rPr>
          <w:rFonts w:ascii="Times New Roman" w:hAnsi="Times New Roman" w:eastAsia="宋体"/>
          <w:spacing w:val="0"/>
          <w:sz w:val="21"/>
          <w:szCs w:val="21"/>
          <w:u w:val="dash"/>
        </w:rPr>
      </w:pP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p>
    <w:p>
      <w:pPr>
        <w:pStyle w:val="Normal"/>
        <w:snapToGrid w:val="false"/>
        <w:spacing w:lineRule="auto" w:line="360"/>
        <w:ind w:firstLine="420" w:end="0"/>
        <w:rPr>
          <w:rFonts w:ascii="Times New Roman" w:hAnsi="Times New Roman" w:eastAsia="宋体"/>
          <w:spacing w:val="0"/>
          <w:sz w:val="21"/>
          <w:szCs w:val="21"/>
          <w:u w:val="dash"/>
        </w:rPr>
      </w:pPr>
      <w:r>
        <w:rPr>
          <w:rFonts w:eastAsia="宋体"/>
          <w:spacing w:val="0"/>
          <w:sz w:val="21"/>
          <w:szCs w:val="21"/>
          <w:u w:val="dash"/>
        </w:rPr>
      </w:r>
    </w:p>
    <w:p>
      <w:pPr>
        <w:pStyle w:val="Normal"/>
        <w:snapToGrid w:val="false"/>
        <w:spacing w:lineRule="auto" w:line="360"/>
        <w:jc w:val="center"/>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snapToGrid w:val="false"/>
        <w:spacing w:lineRule="auto" w:line="360"/>
        <w:jc w:val="center"/>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snapToGrid w:val="false"/>
        <w:spacing w:lineRule="auto" w:line="360"/>
        <w:jc w:val="center"/>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snapToGrid w:val="false"/>
        <w:spacing w:lineRule="auto" w:line="360"/>
        <w:jc w:val="center"/>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snapToGrid w:val="false"/>
        <w:spacing w:lineRule="auto" w:line="360"/>
        <w:jc w:val="center"/>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snapToGrid w:val="false"/>
        <w:spacing w:lineRule="auto" w:line="360"/>
        <w:jc w:val="center"/>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snapToGrid w:val="false"/>
        <w:spacing w:lineRule="auto" w:line="360"/>
        <w:jc w:val="center"/>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snapToGrid w:val="false"/>
        <w:spacing w:lineRule="auto" w:line="360"/>
        <w:jc w:val="center"/>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snapToGrid w:val="false"/>
        <w:spacing w:lineRule="auto" w:line="360"/>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附件三：商品房质量和设备等情况</w:t>
      </w:r>
    </w:p>
    <w:p>
      <w:pPr>
        <w:pStyle w:val="BodyTextIndent"/>
        <w:tabs>
          <w:tab w:val="clear" w:pos="420"/>
          <w:tab w:val="left" w:pos="0" w:leader="none"/>
        </w:tabs>
        <w:spacing w:lineRule="auto" w:line="360"/>
        <w:ind w:start="0" w:end="0"/>
        <w:rPr>
          <w:rFonts w:ascii="Times New Roman" w:hAnsi="Times New Roman" w:eastAsia="宋体"/>
          <w:spacing w:val="0"/>
          <w:sz w:val="21"/>
          <w:szCs w:val="21"/>
          <w:u w:val="dash"/>
        </w:rPr>
      </w:pP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p>
    <w:p>
      <w:pPr>
        <w:pStyle w:val="BodyTextIndent"/>
        <w:tabs>
          <w:tab w:val="clear" w:pos="420"/>
          <w:tab w:val="left" w:pos="0" w:leader="none"/>
        </w:tabs>
        <w:spacing w:lineRule="auto" w:line="360"/>
        <w:ind w:start="0" w:end="0"/>
        <w:rPr>
          <w:rFonts w:ascii="Times New Roman" w:hAnsi="Times New Roman" w:eastAsia="宋体"/>
          <w:spacing w:val="0"/>
          <w:sz w:val="21"/>
          <w:szCs w:val="21"/>
          <w:u w:val="dash"/>
        </w:rPr>
      </w:pP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p>
    <w:p>
      <w:pPr>
        <w:pStyle w:val="BodyTextIndent"/>
        <w:tabs>
          <w:tab w:val="clear" w:pos="420"/>
          <w:tab w:val="left" w:pos="0" w:leader="none"/>
        </w:tabs>
        <w:spacing w:lineRule="auto" w:line="360"/>
        <w:ind w:start="0" w:end="0"/>
        <w:rPr>
          <w:rFonts w:ascii="Times New Roman" w:hAnsi="Times New Roman" w:eastAsia="宋体"/>
          <w:spacing w:val="0"/>
          <w:sz w:val="21"/>
          <w:szCs w:val="21"/>
          <w:u w:val="dash"/>
        </w:rPr>
      </w:pP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p>
    <w:p>
      <w:pPr>
        <w:pStyle w:val="BodyTextIndent"/>
        <w:tabs>
          <w:tab w:val="clear" w:pos="420"/>
          <w:tab w:val="left" w:pos="0" w:leader="none"/>
        </w:tabs>
        <w:spacing w:lineRule="auto" w:line="360"/>
        <w:ind w:start="0" w:end="0"/>
        <w:rPr>
          <w:rFonts w:ascii="Times New Roman" w:hAnsi="Times New Roman" w:eastAsia="宋体"/>
          <w:spacing w:val="0"/>
          <w:sz w:val="21"/>
          <w:szCs w:val="21"/>
          <w:u w:val="dash"/>
        </w:rPr>
      </w:pP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p>
    <w:p>
      <w:pPr>
        <w:pStyle w:val="BodyTextIndent"/>
        <w:tabs>
          <w:tab w:val="clear" w:pos="420"/>
          <w:tab w:val="left" w:pos="0" w:leader="none"/>
        </w:tabs>
        <w:spacing w:lineRule="auto" w:line="360"/>
        <w:ind w:start="0" w:end="0"/>
        <w:rPr>
          <w:rFonts w:ascii="Times New Roman" w:hAnsi="Times New Roman" w:eastAsia="宋体"/>
          <w:spacing w:val="0"/>
          <w:sz w:val="21"/>
          <w:szCs w:val="21"/>
          <w:u w:val="dash"/>
        </w:rPr>
      </w:pP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p>
    <w:p>
      <w:pPr>
        <w:pStyle w:val="BodyTextIndent"/>
        <w:tabs>
          <w:tab w:val="clear" w:pos="420"/>
          <w:tab w:val="left" w:pos="0" w:leader="none"/>
        </w:tabs>
        <w:spacing w:lineRule="auto" w:line="360"/>
        <w:ind w:start="0" w:end="0"/>
        <w:rPr>
          <w:rFonts w:ascii="Times New Roman" w:hAnsi="Times New Roman" w:eastAsia="宋体"/>
          <w:spacing w:val="0"/>
          <w:sz w:val="21"/>
          <w:szCs w:val="21"/>
          <w:u w:val="dash"/>
        </w:rPr>
      </w:pP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p>
    <w:p>
      <w:pPr>
        <w:pStyle w:val="BodyTextIndent"/>
        <w:tabs>
          <w:tab w:val="clear" w:pos="420"/>
          <w:tab w:val="left" w:pos="0" w:leader="none"/>
        </w:tabs>
        <w:spacing w:lineRule="auto" w:line="360"/>
        <w:ind w:start="0" w:end="0"/>
        <w:rPr>
          <w:rFonts w:ascii="Times New Roman" w:hAnsi="Times New Roman" w:eastAsia="宋体"/>
          <w:spacing w:val="0"/>
          <w:sz w:val="21"/>
          <w:szCs w:val="21"/>
          <w:u w:val="dash"/>
        </w:rPr>
      </w:pP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p>
    <w:p>
      <w:pPr>
        <w:pStyle w:val="BodyTextIndent"/>
        <w:tabs>
          <w:tab w:val="clear" w:pos="420"/>
          <w:tab w:val="left" w:pos="0" w:leader="none"/>
        </w:tabs>
        <w:spacing w:lineRule="auto" w:line="360"/>
        <w:ind w:start="0" w:end="0"/>
        <w:rPr>
          <w:rFonts w:ascii="Times New Roman" w:hAnsi="Times New Roman" w:eastAsia="宋体"/>
          <w:spacing w:val="0"/>
          <w:sz w:val="21"/>
          <w:szCs w:val="21"/>
          <w:u w:val="dash"/>
        </w:rPr>
      </w:pP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p>
    <w:p>
      <w:pPr>
        <w:pStyle w:val="BodyTextIndent"/>
        <w:tabs>
          <w:tab w:val="clear" w:pos="420"/>
          <w:tab w:val="left" w:pos="0" w:leader="none"/>
        </w:tabs>
        <w:spacing w:lineRule="auto" w:line="360"/>
        <w:ind w:start="0" w:end="0"/>
        <w:rPr>
          <w:rFonts w:ascii="Times New Roman" w:hAnsi="Times New Roman" w:eastAsia="宋体"/>
          <w:spacing w:val="0"/>
          <w:sz w:val="21"/>
          <w:szCs w:val="21"/>
          <w:u w:val="dash"/>
        </w:rPr>
      </w:pP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p>
    <w:p>
      <w:pPr>
        <w:pStyle w:val="Normal"/>
        <w:snapToGrid w:val="false"/>
        <w:spacing w:lineRule="auto" w:line="360"/>
        <w:ind w:firstLine="420" w:end="0"/>
        <w:rPr>
          <w:rFonts w:ascii="Times New Roman" w:hAnsi="Times New Roman" w:eastAsia="宋体"/>
          <w:spacing w:val="0"/>
          <w:sz w:val="21"/>
          <w:szCs w:val="21"/>
          <w:u w:val="dash"/>
        </w:rPr>
      </w:pPr>
      <w:r>
        <w:rPr>
          <w:rFonts w:eastAsia="宋体"/>
          <w:spacing w:val="0"/>
          <w:sz w:val="21"/>
          <w:szCs w:val="21"/>
          <w:u w:val="dash"/>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附件四：商品房房屋设计和环境布局情况</w:t>
      </w:r>
    </w:p>
    <w:p>
      <w:pPr>
        <w:pStyle w:val="BodyTextIndent"/>
        <w:tabs>
          <w:tab w:val="clear" w:pos="420"/>
          <w:tab w:val="left" w:pos="0" w:leader="none"/>
        </w:tabs>
        <w:spacing w:lineRule="auto" w:line="360"/>
        <w:ind w:start="0" w:end="0"/>
        <w:rPr>
          <w:rFonts w:ascii="Times New Roman" w:hAnsi="Times New Roman" w:eastAsia="宋体"/>
          <w:spacing w:val="0"/>
          <w:sz w:val="21"/>
          <w:szCs w:val="21"/>
          <w:u w:val="dash"/>
        </w:rPr>
      </w:pP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p>
    <w:p>
      <w:pPr>
        <w:pStyle w:val="BodyTextIndent"/>
        <w:tabs>
          <w:tab w:val="clear" w:pos="420"/>
          <w:tab w:val="left" w:pos="0" w:leader="none"/>
        </w:tabs>
        <w:spacing w:lineRule="auto" w:line="360"/>
        <w:ind w:start="0" w:end="0"/>
        <w:rPr>
          <w:rFonts w:ascii="Times New Roman" w:hAnsi="Times New Roman" w:eastAsia="宋体"/>
          <w:spacing w:val="0"/>
          <w:sz w:val="21"/>
          <w:szCs w:val="21"/>
          <w:u w:val="dash"/>
        </w:rPr>
      </w:pP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p>
    <w:p>
      <w:pPr>
        <w:pStyle w:val="BodyTextIndent"/>
        <w:tabs>
          <w:tab w:val="clear" w:pos="420"/>
          <w:tab w:val="left" w:pos="0" w:leader="none"/>
        </w:tabs>
        <w:spacing w:lineRule="auto" w:line="360"/>
        <w:ind w:start="0" w:end="0"/>
        <w:rPr>
          <w:rFonts w:ascii="Times New Roman" w:hAnsi="Times New Roman" w:eastAsia="宋体"/>
          <w:spacing w:val="0"/>
          <w:sz w:val="21"/>
          <w:szCs w:val="21"/>
          <w:u w:val="dash"/>
        </w:rPr>
      </w:pP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p>
    <w:p>
      <w:pPr>
        <w:pStyle w:val="BodyTextIndent"/>
        <w:tabs>
          <w:tab w:val="clear" w:pos="420"/>
          <w:tab w:val="left" w:pos="0" w:leader="none"/>
        </w:tabs>
        <w:spacing w:lineRule="auto" w:line="360"/>
        <w:ind w:start="0" w:end="0"/>
        <w:rPr>
          <w:rFonts w:ascii="Times New Roman" w:hAnsi="Times New Roman" w:eastAsia="宋体"/>
          <w:spacing w:val="0"/>
          <w:sz w:val="21"/>
          <w:szCs w:val="21"/>
          <w:u w:val="dash"/>
        </w:rPr>
      </w:pP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p>
    <w:p>
      <w:pPr>
        <w:pStyle w:val="BodyTextIndent"/>
        <w:tabs>
          <w:tab w:val="clear" w:pos="420"/>
          <w:tab w:val="left" w:pos="0" w:leader="none"/>
        </w:tabs>
        <w:spacing w:lineRule="auto" w:line="360"/>
        <w:ind w:start="0" w:end="0"/>
        <w:rPr>
          <w:rFonts w:ascii="Times New Roman" w:hAnsi="Times New Roman" w:eastAsia="宋体"/>
          <w:spacing w:val="0"/>
          <w:sz w:val="21"/>
          <w:szCs w:val="21"/>
          <w:u w:val="dash"/>
        </w:rPr>
      </w:pP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p>
    <w:p>
      <w:pPr>
        <w:pStyle w:val="BodyTextIndent"/>
        <w:tabs>
          <w:tab w:val="clear" w:pos="420"/>
          <w:tab w:val="left" w:pos="0" w:leader="none"/>
        </w:tabs>
        <w:spacing w:lineRule="auto" w:line="360"/>
        <w:ind w:start="0" w:end="0"/>
        <w:rPr>
          <w:rFonts w:ascii="Times New Roman" w:hAnsi="Times New Roman" w:eastAsia="宋体"/>
          <w:spacing w:val="0"/>
          <w:sz w:val="21"/>
          <w:szCs w:val="21"/>
          <w:u w:val="dash"/>
        </w:rPr>
      </w:pP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p>
    <w:p>
      <w:pPr>
        <w:pStyle w:val="BodyTextIndent"/>
        <w:tabs>
          <w:tab w:val="clear" w:pos="420"/>
          <w:tab w:val="left" w:pos="0" w:leader="none"/>
        </w:tabs>
        <w:spacing w:lineRule="auto" w:line="360"/>
        <w:ind w:start="0" w:end="0"/>
        <w:rPr>
          <w:rFonts w:ascii="Times New Roman" w:hAnsi="Times New Roman" w:eastAsia="宋体"/>
          <w:spacing w:val="0"/>
          <w:sz w:val="21"/>
          <w:szCs w:val="21"/>
          <w:u w:val="dash"/>
        </w:rPr>
      </w:pP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p>
    <w:p>
      <w:pPr>
        <w:pStyle w:val="BodyTextIndent"/>
        <w:tabs>
          <w:tab w:val="clear" w:pos="420"/>
          <w:tab w:val="left" w:pos="0" w:leader="none"/>
        </w:tabs>
        <w:spacing w:lineRule="auto" w:line="360"/>
        <w:ind w:start="0" w:end="0"/>
        <w:rPr>
          <w:rFonts w:ascii="Times New Roman" w:hAnsi="Times New Roman" w:eastAsia="宋体"/>
          <w:spacing w:val="0"/>
          <w:sz w:val="21"/>
          <w:szCs w:val="21"/>
          <w:u w:val="dash"/>
        </w:rPr>
      </w:pP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p>
    <w:p>
      <w:pPr>
        <w:pStyle w:val="Normal"/>
        <w:snapToGrid w:val="false"/>
        <w:spacing w:lineRule="auto" w:line="360"/>
        <w:ind w:firstLine="420" w:end="0"/>
        <w:rPr>
          <w:rFonts w:ascii="Times New Roman" w:hAnsi="Times New Roman" w:eastAsia="宋体"/>
          <w:spacing w:val="0"/>
          <w:sz w:val="21"/>
          <w:szCs w:val="21"/>
          <w:u w:val="dash"/>
        </w:rPr>
      </w:pPr>
      <w:r>
        <w:rPr>
          <w:rFonts w:eastAsia="宋体"/>
          <w:spacing w:val="0"/>
          <w:sz w:val="21"/>
          <w:szCs w:val="21"/>
          <w:u w:val="dash"/>
        </w:rPr>
      </w:r>
    </w:p>
    <w:p>
      <w:pPr>
        <w:pStyle w:val="Normal"/>
        <w:snapToGrid w:val="false"/>
        <w:spacing w:lineRule="auto" w:line="360"/>
        <w:jc w:val="center"/>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snapToGrid w:val="false"/>
        <w:spacing w:lineRule="auto" w:line="360"/>
        <w:jc w:val="center"/>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snapToGrid w:val="false"/>
        <w:spacing w:lineRule="auto" w:line="360"/>
        <w:jc w:val="center"/>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snapToGrid w:val="false"/>
        <w:spacing w:lineRule="auto" w:line="360"/>
        <w:jc w:val="center"/>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snapToGrid w:val="false"/>
        <w:spacing w:lineRule="auto" w:line="360"/>
        <w:jc w:val="center"/>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snapToGrid w:val="false"/>
        <w:spacing w:lineRule="auto" w:line="360"/>
        <w:jc w:val="center"/>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snapToGrid w:val="false"/>
        <w:spacing w:lineRule="auto" w:line="360"/>
        <w:jc w:val="center"/>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snapToGrid w:val="false"/>
        <w:spacing w:lineRule="auto" w:line="360"/>
        <w:jc w:val="center"/>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snapToGrid w:val="false"/>
        <w:spacing w:lineRule="auto" w:line="360"/>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附件五：补充合同</w:t>
      </w:r>
    </w:p>
    <w:p>
      <w:pPr>
        <w:pStyle w:val="BodyTextIndent"/>
        <w:tabs>
          <w:tab w:val="clear" w:pos="420"/>
          <w:tab w:val="left" w:pos="0" w:leader="none"/>
        </w:tabs>
        <w:spacing w:lineRule="auto" w:line="360"/>
        <w:ind w:start="0" w:end="0"/>
        <w:rPr>
          <w:rFonts w:ascii="Times New Roman" w:hAnsi="Times New Roman" w:eastAsia="宋体"/>
          <w:spacing w:val="0"/>
          <w:sz w:val="21"/>
          <w:szCs w:val="21"/>
          <w:u w:val="dash"/>
        </w:rPr>
      </w:pP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p>
    <w:p>
      <w:pPr>
        <w:pStyle w:val="BodyTextIndent"/>
        <w:tabs>
          <w:tab w:val="clear" w:pos="420"/>
          <w:tab w:val="left" w:pos="0" w:leader="none"/>
        </w:tabs>
        <w:spacing w:lineRule="auto" w:line="360"/>
        <w:ind w:start="0" w:end="0"/>
        <w:rPr>
          <w:rFonts w:ascii="Times New Roman" w:hAnsi="Times New Roman" w:eastAsia="宋体"/>
          <w:spacing w:val="0"/>
          <w:sz w:val="21"/>
          <w:szCs w:val="21"/>
          <w:u w:val="dash"/>
        </w:rPr>
      </w:pP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p>
    <w:p>
      <w:pPr>
        <w:pStyle w:val="BodyTextIndent"/>
        <w:tabs>
          <w:tab w:val="clear" w:pos="420"/>
          <w:tab w:val="left" w:pos="0" w:leader="none"/>
        </w:tabs>
        <w:spacing w:lineRule="auto" w:line="360"/>
        <w:ind w:start="0" w:end="0"/>
        <w:rPr>
          <w:rFonts w:ascii="Times New Roman" w:hAnsi="Times New Roman" w:eastAsia="宋体"/>
          <w:spacing w:val="0"/>
          <w:sz w:val="21"/>
          <w:szCs w:val="21"/>
          <w:u w:val="dash"/>
        </w:rPr>
      </w:pP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p>
    <w:p>
      <w:pPr>
        <w:pStyle w:val="BodyTextIndent"/>
        <w:tabs>
          <w:tab w:val="clear" w:pos="420"/>
          <w:tab w:val="left" w:pos="0" w:leader="none"/>
        </w:tabs>
        <w:spacing w:lineRule="auto" w:line="360"/>
        <w:ind w:start="0" w:end="0"/>
        <w:rPr>
          <w:rFonts w:ascii="Times New Roman" w:hAnsi="Times New Roman" w:eastAsia="宋体"/>
          <w:spacing w:val="0"/>
          <w:sz w:val="21"/>
          <w:szCs w:val="21"/>
          <w:u w:val="dash"/>
        </w:rPr>
      </w:pP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p>
    <w:p>
      <w:pPr>
        <w:pStyle w:val="BodyTextIndent"/>
        <w:tabs>
          <w:tab w:val="clear" w:pos="420"/>
          <w:tab w:val="left" w:pos="0" w:leader="none"/>
        </w:tabs>
        <w:spacing w:lineRule="auto" w:line="360"/>
        <w:ind w:start="0" w:end="0"/>
        <w:rPr>
          <w:rFonts w:ascii="Times New Roman" w:hAnsi="Times New Roman" w:eastAsia="宋体"/>
          <w:spacing w:val="0"/>
          <w:sz w:val="21"/>
          <w:szCs w:val="21"/>
          <w:u w:val="dash"/>
        </w:rPr>
      </w:pP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p>
    <w:p>
      <w:pPr>
        <w:pStyle w:val="BodyTextIndent"/>
        <w:tabs>
          <w:tab w:val="clear" w:pos="420"/>
          <w:tab w:val="left" w:pos="0" w:leader="none"/>
        </w:tabs>
        <w:spacing w:lineRule="auto" w:line="360"/>
        <w:ind w:start="0" w:end="0"/>
        <w:rPr>
          <w:rFonts w:ascii="Times New Roman" w:hAnsi="Times New Roman" w:eastAsia="宋体"/>
          <w:spacing w:val="0"/>
          <w:sz w:val="21"/>
          <w:szCs w:val="21"/>
          <w:u w:val="dash"/>
        </w:rPr>
      </w:pP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p>
    <w:p>
      <w:pPr>
        <w:pStyle w:val="BodyTextIndent"/>
        <w:tabs>
          <w:tab w:val="clear" w:pos="420"/>
          <w:tab w:val="left" w:pos="0" w:leader="none"/>
        </w:tabs>
        <w:spacing w:lineRule="auto" w:line="360"/>
        <w:ind w:start="0" w:end="0"/>
        <w:rPr>
          <w:rFonts w:ascii="Times New Roman" w:hAnsi="Times New Roman" w:eastAsia="宋体"/>
          <w:spacing w:val="0"/>
          <w:sz w:val="21"/>
          <w:szCs w:val="21"/>
          <w:u w:val="dash"/>
        </w:rPr>
      </w:pP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p>
    <w:p>
      <w:pPr>
        <w:pStyle w:val="BodyTextIndent"/>
        <w:tabs>
          <w:tab w:val="clear" w:pos="420"/>
          <w:tab w:val="left" w:pos="0" w:leader="none"/>
        </w:tabs>
        <w:spacing w:lineRule="auto" w:line="360"/>
        <w:ind w:start="0" w:end="0"/>
        <w:rPr>
          <w:rFonts w:ascii="Times New Roman" w:hAnsi="Times New Roman" w:eastAsia="宋体"/>
          <w:spacing w:val="0"/>
          <w:sz w:val="21"/>
          <w:szCs w:val="21"/>
          <w:u w:val="dash"/>
        </w:rPr>
      </w:pP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p>
    <w:p>
      <w:pPr>
        <w:pStyle w:val="Normal"/>
        <w:snapToGrid w:val="false"/>
        <w:spacing w:lineRule="auto" w:line="360"/>
        <w:ind w:firstLine="420" w:end="0"/>
        <w:rPr>
          <w:rFonts w:ascii="Times New Roman" w:hAnsi="Times New Roman" w:eastAsia="宋体"/>
          <w:spacing w:val="0"/>
          <w:sz w:val="21"/>
          <w:szCs w:val="21"/>
          <w:u w:val="dash"/>
        </w:rPr>
      </w:pPr>
      <w:r>
        <w:rPr>
          <w:rFonts w:eastAsia="宋体"/>
          <w:spacing w:val="0"/>
          <w:sz w:val="21"/>
          <w:szCs w:val="21"/>
          <w:u w:val="dash"/>
        </w:rPr>
      </w:r>
    </w:p>
    <w:p>
      <w:pPr>
        <w:pStyle w:val="Normal"/>
        <w:snapToGrid w:val="false"/>
        <w:spacing w:lineRule="auto" w:line="360"/>
        <w:jc w:val="center"/>
        <w:rPr>
          <w:rFonts w:ascii="黑体" w:hAnsi="黑体" w:eastAsia="黑体"/>
          <w:sz w:val="30"/>
          <w:szCs w:val="30"/>
        </w:rPr>
      </w:pPr>
      <w:r>
        <w:rPr>
          <w:rFonts w:ascii="黑体" w:hAnsi="黑体" w:eastAsia="黑体"/>
          <w:sz w:val="30"/>
          <w:szCs w:val="30"/>
        </w:rPr>
        <w:t>合　同　登　记　备　案　栏</w:t>
      </w:r>
    </w:p>
    <w:p>
      <w:pPr>
        <w:pStyle w:val="Normal"/>
        <w:snapToGrid w:val="false"/>
        <w:spacing w:lineRule="auto" w:line="360"/>
        <w:ind w:firstLine="420" w:end="0"/>
        <w:rPr>
          <w:rFonts w:ascii="黑体" w:hAnsi="黑体" w:eastAsia="黑体"/>
          <w:sz w:val="30"/>
          <w:szCs w:val="21"/>
        </w:rPr>
      </w:pPr>
      <w:r>
        <w:rPr>
          <w:rFonts w:eastAsia="黑体" w:ascii="黑体" w:hAnsi="黑体"/>
          <w:sz w:val="30"/>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620" w:end="0"/>
        <w:rPr>
          <w:szCs w:val="21"/>
        </w:rPr>
      </w:pPr>
      <w:r>
        <w:rPr>
          <w:szCs w:val="21"/>
        </w:rPr>
        <w:t>经办人</w:t>
      </w:r>
      <w:r>
        <w:rPr>
          <w:rFonts w:eastAsia="Times New Roman"/>
          <w:szCs w:val="21"/>
        </w:rPr>
        <w:t xml:space="preserve"> </w:t>
      </w:r>
      <w:r>
        <w:rPr>
          <w:szCs w:val="21"/>
        </w:rPr>
        <w:t>：</w:t>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jc w:val="end"/>
        <w:rPr>
          <w:szCs w:val="21"/>
        </w:rPr>
      </w:pPr>
      <w:r>
        <w:rPr>
          <w:szCs w:val="21"/>
        </w:rPr>
        <w:t>年　　月　　日</w:t>
      </w:r>
    </w:p>
    <w:p>
      <w:pPr>
        <w:pStyle w:val="Normal"/>
        <w:rPr>
          <w:szCs w:val="21"/>
        </w:rPr>
      </w:pPr>
      <w:r>
        <w:rPr>
          <w:szCs w:val="21"/>
        </w:rPr>
      </w:r>
    </w:p>
    <w:sectPr>
      <w:footerReference w:type="default" r:id="rId2"/>
      <w:type w:val="nextPage"/>
      <w:pgSz w:w="9184" w:h="12983"/>
      <w:pgMar w:left="1361" w:right="1304" w:gutter="0" w:header="0" w:top="1701" w:footer="992" w:bottom="1531"/>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黑体">
    <w:charset w:val="86"/>
    <w:family w:val="auto"/>
    <w:pitch w:val="default"/>
  </w:font>
  <w:font w:name="Liberation Sans">
    <w:altName w:val="Arial"/>
    <w:charset w:val="01" w:characterSet="utf-8"/>
    <w:family w:val="swiss"/>
    <w:pitch w:val="variable"/>
  </w:font>
  <w:font w:name="楷体_GB2312">
    <w:altName w:val="楷体"/>
    <w:charset w:val="86"/>
    <w:family w:val="modern"/>
    <w:pitch w:val="default"/>
  </w:font>
  <w:font w:name="方正小标宋简体">
    <w:charset w:val="86"/>
    <w:family w:val="auto"/>
    <w:pitch w:val="default"/>
  </w:font>
  <w:font w:name="方正小标宋_GBK">
    <w:charset w:val="86"/>
    <w:family w:val="auto"/>
    <w:pitch w:val="default"/>
  </w:font>
  <w:font w:name="方正黑体_GBK">
    <w:charset w:val="86"/>
    <w:family w:val="auto"/>
    <w:pitch w:val="default"/>
  </w:font>
  <w:font w:name="方正书宋_GBK">
    <w:charset w:val="86"/>
    <w:family w:val="auto"/>
    <w:pitch w:val="default"/>
  </w:font>
  <w:font w:name="方正楷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8">
              <wp:simplePos x="0" y="0"/>
              <wp:positionH relativeFrom="margin">
                <wp:align>center</wp:align>
              </wp:positionH>
              <wp:positionV relativeFrom="paragraph">
                <wp:posOffset>635</wp:posOffset>
              </wp:positionV>
              <wp:extent cx="114935" cy="131445"/>
              <wp:effectExtent l="0" t="0" r="0" b="0"/>
              <wp:wrapSquare wrapText="bothSides"/>
              <wp:docPr id="2" name="Frame2"/>
              <a:graphic xmlns:a="http://schemas.openxmlformats.org/drawingml/2006/main">
                <a:graphicData uri="http://schemas.microsoft.com/office/word/2010/wordprocessingShape">
                  <wps:wsp>
                    <wps:cNvSpPr txBox="1"/>
                    <wps:spPr>
                      <a:xfrm>
                        <a:off x="0" y="0"/>
                        <a:ext cx="114935" cy="13144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17</w:t>
                          </w:r>
                          <w:r>
                            <w:rPr/>
                            <w:fldChar w:fldCharType="end"/>
                          </w:r>
                        </w:p>
                      </w:txbxContent>
                    </wps:txbx>
                    <wps:bodyPr anchor="t" lIns="0" tIns="0" rIns="0" bIns="0">
                      <a:noAutofit/>
                    </wps:bodyPr>
                  </wps:wsp>
                </a:graphicData>
              </a:graphic>
            </wp:anchor>
          </w:drawing>
        </mc:Choice>
        <mc:Fallback>
          <w:pict>
            <v:rect fillcolor="#FFFFFF" style="position:absolute;rotation:-0;width:9.05pt;height:10.35pt;mso-wrap-distance-left:0pt;mso-wrap-distance-right:0pt;mso-wrap-distance-top:0pt;mso-wrap-distance-bottom:0pt;margin-top:0.05pt;mso-position-vertical-relative:text;margin-left:158.45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17</w:t>
                    </w:r>
                    <w:r>
                      <w:rPr/>
                      <w:fldChar w:fldCharType="end"/>
                    </w:r>
                  </w:p>
                </w:txbxContent>
              </v:textbox>
              <w10:wrap type="square"/>
            </v:rect>
          </w:pict>
        </mc:Fallback>
      </mc:AlternateContent>
    </w:r>
  </w:p>
</w:ftr>
</file>

<file path=word/settings.xml><?xml version="1.0" encoding="utf-8"?>
<w:settings xmlns:w="http://schemas.openxmlformats.org/wordprocessingml/2006/main">
  <w:zoom w:percent="15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character" w:styleId="2Char">
    <w:name w:val="样式2 Char"/>
    <w:basedOn w:val="Style14"/>
    <w:qFormat/>
    <w:rPr>
      <w:rFonts w:ascii="黑体" w:hAnsi="黑体" w:eastAsia="黑体"/>
      <w:kern w:val="2"/>
      <w:sz w:val="24"/>
      <w:szCs w:val="24"/>
      <w:lang w:val="en-US" w:eastAsia="zh-CN" w:bidi="ar-SA"/>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BodyTextIndent">
    <w:name w:val="Body Text Indent"/>
    <w:basedOn w:val="Normal"/>
    <w:pPr>
      <w:ind w:hanging="0" w:start="105" w:end="0"/>
    </w:pPr>
    <w:rPr>
      <w:rFonts w:ascii="楷体_GB2312;楷体" w:hAnsi="楷体_GB2312;楷体" w:eastAsia="楷体_GB2312;楷体"/>
      <w:spacing w:val="-4"/>
      <w:sz w:val="28"/>
      <w:szCs w:val="20"/>
    </w:rPr>
  </w:style>
  <w:style w:type="paragraph" w:styleId="3">
    <w:name w:val="样式3"/>
    <w:basedOn w:val="Normal"/>
    <w:qFormat/>
    <w:pPr>
      <w:snapToGrid w:val="false"/>
      <w:spacing w:lineRule="auto" w:line="360"/>
      <w:jc w:val="center"/>
    </w:pPr>
    <w:rPr>
      <w:rFonts w:ascii="方正小标宋简体" w:hAnsi="方正小标宋简体" w:eastAsia="方正小标宋简体"/>
      <w:sz w:val="44"/>
      <w:szCs w:val="44"/>
    </w:rPr>
  </w:style>
  <w:style w:type="paragraph" w:styleId="2">
    <w:name w:val="样式2"/>
    <w:basedOn w:val="Normal"/>
    <w:qFormat/>
    <w:pPr>
      <w:snapToGrid w:val="false"/>
      <w:spacing w:lineRule="auto" w:line="360"/>
      <w:ind w:firstLine="480" w:start="0" w:end="0"/>
    </w:pPr>
    <w:rPr>
      <w:rFonts w:ascii="黑体" w:hAnsi="黑体" w:eastAsia="黑体"/>
      <w:sz w:val="24"/>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10080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2010-05-13T16:19:00Z</dcterms:created>
  <dc:creator>袁弘信</dc:creator>
  <dc:description/>
  <dc:language>zh-CN</dc:language>
  <cp:lastModifiedBy>袁弘信</cp:lastModifiedBy>
  <dcterms:modified xsi:type="dcterms:W3CDTF">2022-02-18T17:39:41Z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