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/>
      </w:pPr>
      <w:r>
        <w:rPr>
          <w:sz w:val="28"/>
          <w:szCs w:val="28"/>
        </w:rPr>
        <w:t>JF-2008-042</w:t>
      </w:r>
      <w:r>
        <w:rPr>
          <w:szCs w:val="21"/>
        </w:rPr>
        <w:t xml:space="preserve">                                </w:t>
      </w:r>
      <w:r>
        <w:rPr>
          <w:szCs w:val="21"/>
        </w:rPr>
        <w:t>合同编号：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天津市水泥买卖合同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 xml:space="preserve">                                      </w:t>
      </w:r>
      <w:r>
        <w:rPr>
          <w:szCs w:val="21"/>
        </w:rPr>
        <w:t>签订时间：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 xml:space="preserve">                                      </w:t>
      </w:r>
      <w:r>
        <w:rPr>
          <w:szCs w:val="21"/>
        </w:rPr>
        <w:t>签订地点：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根据《中华人民共和国合同法》及其他有关法律、行政法规的规定，买卖双方在平等、自愿、公平、诚实信用的基础上，就水泥买卖事宜达成协议如下：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所购水泥基本情况                 单位：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07"/>
        <w:gridCol w:w="551"/>
        <w:gridCol w:w="494"/>
        <w:gridCol w:w="882"/>
        <w:gridCol w:w="633"/>
        <w:gridCol w:w="634"/>
        <w:gridCol w:w="634"/>
        <w:gridCol w:w="470"/>
        <w:gridCol w:w="650"/>
        <w:gridCol w:w="664"/>
      </w:tblGrid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标号</w:t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</w:t>
      </w:r>
      <w:r>
        <w:rPr>
          <w:rFonts w:ascii="方正黑体_GBK" w:hAnsi="方正黑体_GBK" w:cs="方正黑体_GBK" w:eastAsia="方正黑体_GBK"/>
          <w:sz w:val="22"/>
          <w:szCs w:val="22"/>
        </w:rPr>
        <w:t xml:space="preserve">  质量标准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第三条  交货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3"/>
        <w:gridCol w:w="1154"/>
        <w:gridCol w:w="541"/>
        <w:gridCol w:w="635"/>
        <w:gridCol w:w="846"/>
        <w:gridCol w:w="635"/>
        <w:gridCol w:w="635"/>
        <w:gridCol w:w="635"/>
        <w:gridCol w:w="634"/>
        <w:gridCol w:w="511"/>
      </w:tblGrid>
      <w:tr>
        <w:trPr>
          <w:trHeight w:val="312" w:hRule="atLeast"/>
        </w:trPr>
        <w:tc>
          <w:tcPr>
            <w:tcW w:w="144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收货单位</w:t>
            </w:r>
          </w:p>
        </w:tc>
        <w:tc>
          <w:tcPr>
            <w:tcW w:w="202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到       站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时间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地点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方式</w:t>
            </w:r>
          </w:p>
        </w:tc>
      </w:tr>
      <w:tr>
        <w:trPr>
          <w:trHeight w:val="312" w:hRule="atLeast"/>
        </w:trPr>
        <w:tc>
          <w:tcPr>
            <w:tcW w:w="144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路局</w:t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车站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专用线</w:t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送货</w:t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自提</w:t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包装标准及包装物的供应与回收：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hanging="3520" w:start="352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第四条  验收：</w:t>
      </w:r>
      <w:r>
        <w:rPr>
          <w:rFonts w:ascii="方正书宋_GBK" w:hAnsi="方正书宋_GBK" w:cs="方正书宋_GBK" w:eastAsia="方正书宋_GBK"/>
          <w:sz w:val="22"/>
          <w:szCs w:val="22"/>
        </w:rPr>
        <w:t>对于水泥产品的规格型号、数量、标号等与约定不符或有其他质量问题的，买方异议期为卖方交货后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验收标准：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第五条  付款方式及时间：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双方约定以第  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元（定金不得超过总价款的</w:t>
      </w:r>
      <w:r>
        <w:rPr>
          <w:rFonts w:eastAsia="方正书宋_GBK" w:cs="方正书宋_GBK" w:ascii="方正书宋_GBK" w:hAnsi="方正书宋_GBK"/>
          <w:sz w:val="22"/>
          <w:szCs w:val="22"/>
        </w:rPr>
        <w:t>20%</w:t>
      </w:r>
      <w:r>
        <w:rPr>
          <w:rFonts w:ascii="方正书宋_GBK" w:hAnsi="方正书宋_GBK" w:cs="方正书宋_GBK" w:eastAsia="方正书宋_GBK"/>
          <w:sz w:val="22"/>
          <w:szCs w:val="22"/>
        </w:rPr>
        <w:t>），货到验收后一次性支付余款；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2.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</w:t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-US" w:eastAsia="zh-CN"/>
        </w:rPr>
        <w:t xml:space="preserve">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第六条 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、水泥产品经专业机构检测不符合国家标准或合同约定质量标准的，卖方应无条件换、退货，或赔偿买方由此受到的损失。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的违约金；迟延交货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第七条  争议解决方式：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第八条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 xml:space="preserve">第九条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对本合同的变更或补充不合理地减轻或免除卖方应承担的责任的，仍以本合同为准。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                         卖方（章）：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邮编：                              邮编：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电话：                              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        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                          开户银行：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                          帐    号：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      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2022-02-18T17:42:38Z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