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footer2.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468" w:after="0"/>
        <w:jc w:val="center"/>
        <w:rPr>
          <w:rFonts w:ascii="Times New Roman" w:hAnsi="Times New Roman" w:eastAsia="仿宋_GB2312;仿宋" w:cs="Times New Roman"/>
          <w:color w:val="FF0000"/>
          <w:w w:val="80"/>
          <w:sz w:val="30"/>
        </w:rPr>
      </w:pPr>
      <w:r>
        <w:rPr>
          <w:rFonts w:eastAsia="仿宋_GB2312;仿宋" w:cs="Times New Roman" w:ascii="Times New Roman" w:hAnsi="Times New Roman"/>
          <w:color w:val="FF0000"/>
          <w:w w:val="80"/>
          <w:sz w:val="30"/>
        </w:rPr>
      </w:r>
    </w:p>
    <w:p>
      <w:pPr>
        <w:pStyle w:val="Normal"/>
        <w:spacing w:lineRule="auto" w:line="360"/>
        <w:jc w:val="center"/>
        <w:rPr>
          <w:rFonts w:ascii="Times New Roman" w:hAnsi="Times New Roman" w:eastAsia="仿宋_GB2312;仿宋" w:cs="Times New Roman"/>
          <w:color w:val="FF0000"/>
          <w:w w:val="80"/>
          <w:sz w:val="32"/>
          <w:szCs w:val="32"/>
        </w:rPr>
      </w:pPr>
      <w:r>
        <w:rPr>
          <w:rFonts w:eastAsia="仿宋_GB2312;仿宋" w:cs="Times New Roman" w:ascii="Times New Roman" w:hAnsi="Times New Roman"/>
          <w:color w:val="FF0000"/>
          <w:w w:val="80"/>
          <w:sz w:val="32"/>
          <w:szCs w:val="32"/>
        </w:rPr>
      </w:r>
    </w:p>
    <w:p>
      <w:pPr>
        <w:pStyle w:val="Normal"/>
        <w:snapToGrid w:val="false"/>
        <w:spacing w:lineRule="auto" w:line="360"/>
        <w:rPr>
          <w:rFonts w:ascii="Times New Roman" w:hAnsi="Times New Roman" w:eastAsia="仿宋_GB2312;仿宋" w:cs="Times New Roman"/>
          <w:b/>
          <w:color w:val="000000"/>
          <w:sz w:val="32"/>
          <w:szCs w:val="32"/>
        </w:rPr>
      </w:pPr>
      <w:r>
        <w:rPr>
          <w:rFonts w:eastAsia="仿宋_GB2312;仿宋" w:cs="Times New Roman" w:ascii="Times New Roman" w:hAnsi="Times New Roman"/>
          <w:b/>
          <w:color w:val="000000"/>
          <w:sz w:val="28"/>
          <w:szCs w:val="28"/>
        </w:rPr>
        <w:t xml:space="preserve">JF-2019-033 </w:t>
      </w:r>
      <w:r>
        <w:rPr>
          <w:rFonts w:eastAsia="仿宋_GB2312;仿宋" w:cs="Times New Roman" w:ascii="Times New Roman" w:hAnsi="Times New Roman"/>
          <w:b/>
          <w:color w:val="000000"/>
          <w:sz w:val="32"/>
          <w:szCs w:val="32"/>
        </w:rPr>
        <w:t xml:space="preserve">                       </w:t>
      </w:r>
      <w:r>
        <w:rPr>
          <w:rFonts w:eastAsia="仿宋_GB2312;仿宋" w:cs="Times New Roman" w:ascii="Times New Roman" w:hAnsi="Times New Roman"/>
          <w:b/>
          <w:color w:val="000000"/>
          <w:sz w:val="28"/>
          <w:szCs w:val="28"/>
        </w:rPr>
        <w:t xml:space="preserve"> </w:t>
      </w:r>
      <w:r>
        <w:rPr>
          <w:rFonts w:ascii="Times New Roman" w:hAnsi="Times New Roman" w:cs="Times New Roman" w:eastAsia="仿宋_GB2312;仿宋"/>
          <w:b/>
          <w:color w:val="000000"/>
          <w:sz w:val="28"/>
          <w:szCs w:val="28"/>
        </w:rPr>
        <w:t>合同编号：</w:t>
      </w:r>
    </w:p>
    <w:p>
      <w:pPr>
        <w:pStyle w:val="Normal"/>
        <w:ind w:firstLine="640" w:end="0"/>
        <w:rPr>
          <w:rFonts w:ascii="Times New Roman" w:hAnsi="Times New Roman" w:eastAsia="仿宋_GB2312;仿宋" w:cs="Times New Roman"/>
          <w:b/>
          <w:color w:val="000000"/>
          <w:sz w:val="32"/>
          <w:szCs w:val="32"/>
        </w:rPr>
      </w:pPr>
      <w:r>
        <w:rPr>
          <w:rFonts w:eastAsia="仿宋_GB2312;仿宋" w:cs="Times New Roman" w:ascii="Times New Roman" w:hAnsi="Times New Roman"/>
          <w:b/>
          <w:color w:val="000000"/>
          <w:sz w:val="32"/>
          <w:szCs w:val="32"/>
        </w:rPr>
      </w:r>
    </w:p>
    <w:p>
      <w:pPr>
        <w:pStyle w:val="Normal"/>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jc w:val="center"/>
        <w:rPr>
          <w:rFonts w:ascii="Times New Roman" w:hAnsi="Times New Roman" w:eastAsia="黑体" w:cs="Times New Roman"/>
          <w:b/>
          <w:color w:val="000000"/>
          <w:sz w:val="52"/>
          <w:szCs w:val="52"/>
        </w:rPr>
      </w:pPr>
      <w:r>
        <w:rPr>
          <w:rFonts w:ascii="方正小标宋_GBK" w:hAnsi="方正小标宋_GBK" w:cs="方正小标宋_GBK" w:eastAsia="方正小标宋_GBK"/>
          <w:b/>
          <w:color w:val="000000"/>
          <w:sz w:val="40"/>
          <w:szCs w:val="40"/>
        </w:rPr>
        <w:t>天津市委托拍卖合同</w:t>
      </w:r>
    </w:p>
    <w:p>
      <w:pPr>
        <w:pStyle w:val="Normal"/>
        <w:ind w:firstLine="640" w:end="0"/>
        <w:rPr>
          <w:rFonts w:ascii="Times New Roman" w:hAnsi="Times New Roman" w:eastAsia="仿宋_GB2312;仿宋" w:cs="Times New Roman"/>
          <w:b/>
          <w:color w:val="000000"/>
          <w:sz w:val="32"/>
          <w:szCs w:val="32"/>
        </w:rPr>
      </w:pPr>
      <w:r>
        <w:rPr>
          <w:rFonts w:eastAsia="仿宋_GB2312;仿宋" w:cs="Times New Roman" w:ascii="Times New Roman" w:hAnsi="Times New Roman"/>
          <w:b/>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3" w:end="0"/>
        <w:rPr>
          <w:rFonts w:ascii="Times New Roman" w:hAnsi="Times New Roman" w:eastAsia="仿宋_GB2312;仿宋" w:cs="Times New Roman"/>
          <w:b/>
          <w:color w:val="000000"/>
          <w:sz w:val="32"/>
          <w:szCs w:val="32"/>
          <w:u w:val="single"/>
        </w:rPr>
      </w:pPr>
      <w:r>
        <w:rPr>
          <w:rFonts w:ascii="Times New Roman" w:hAnsi="Times New Roman" w:cs="Times New Roman" w:eastAsia="仿宋_GB2312;仿宋"/>
          <w:b/>
          <w:color w:val="000000"/>
          <w:sz w:val="32"/>
          <w:szCs w:val="32"/>
        </w:rPr>
        <w:t>委托人：</w:t>
      </w:r>
      <w:r>
        <w:rPr>
          <w:rFonts w:ascii="Times New Roman" w:hAnsi="Times New Roman" w:cs="Times New Roman" w:eastAsia="Times New Roman"/>
          <w:b/>
          <w:color w:val="000000"/>
          <w:sz w:val="32"/>
          <w:szCs w:val="32"/>
          <w:u w:val="single"/>
        </w:rPr>
        <w:t xml:space="preserve">                                       </w:t>
      </w:r>
    </w:p>
    <w:p>
      <w:pPr>
        <w:pStyle w:val="Normal"/>
        <w:ind w:firstLine="643" w:end="0"/>
        <w:rPr>
          <w:rFonts w:ascii="Times New Roman" w:hAnsi="Times New Roman" w:eastAsia="仿宋_GB2312;仿宋" w:cs="Times New Roman"/>
          <w:b/>
          <w:color w:val="000000"/>
          <w:sz w:val="32"/>
          <w:szCs w:val="32"/>
          <w:u w:val="single"/>
        </w:rPr>
      </w:pPr>
      <w:r>
        <w:rPr>
          <w:rFonts w:eastAsia="仿宋_GB2312;仿宋" w:cs="Times New Roman" w:ascii="Times New Roman" w:hAnsi="Times New Roman"/>
          <w:b/>
          <w:color w:val="000000"/>
          <w:sz w:val="32"/>
          <w:szCs w:val="32"/>
          <w:u w:val="single"/>
        </w:rPr>
      </w:r>
    </w:p>
    <w:p>
      <w:pPr>
        <w:pStyle w:val="Normal"/>
        <w:ind w:firstLine="643" w:end="0"/>
        <w:rPr>
          <w:rFonts w:ascii="Times New Roman" w:hAnsi="Times New Roman" w:eastAsia="仿宋_GB2312;仿宋" w:cs="Times New Roman"/>
          <w:b/>
          <w:color w:val="000000"/>
          <w:sz w:val="32"/>
          <w:szCs w:val="32"/>
        </w:rPr>
      </w:pPr>
      <w:r>
        <w:rPr>
          <w:rFonts w:ascii="Times New Roman" w:hAnsi="Times New Roman" w:cs="Times New Roman" w:eastAsia="仿宋_GB2312;仿宋"/>
          <w:b/>
          <w:color w:val="000000"/>
          <w:sz w:val="32"/>
          <w:szCs w:val="32"/>
        </w:rPr>
        <w:t>拍卖人：</w:t>
      </w:r>
      <w:r>
        <w:rPr>
          <w:rFonts w:ascii="Times New Roman" w:hAnsi="Times New Roman" w:cs="Times New Roman" w:eastAsia="Times New Roman"/>
          <w:b/>
          <w:color w:val="000000"/>
          <w:sz w:val="32"/>
          <w:szCs w:val="32"/>
          <w:u w:val="single"/>
        </w:rPr>
        <w:t xml:space="preserve">                                       </w:t>
      </w:r>
    </w:p>
    <w:p>
      <w:pPr>
        <w:pStyle w:val="Normal"/>
        <w:ind w:firstLine="640" w:end="0"/>
        <w:rPr>
          <w:rFonts w:ascii="Times New Roman" w:hAnsi="Times New Roman" w:eastAsia="仿宋_GB2312;仿宋" w:cs="Times New Roman"/>
          <w:b/>
          <w:color w:val="000000"/>
          <w:sz w:val="32"/>
          <w:szCs w:val="32"/>
        </w:rPr>
      </w:pPr>
      <w:r>
        <w:rPr>
          <w:rFonts w:eastAsia="仿宋_GB2312;仿宋" w:cs="Times New Roman" w:ascii="Times New Roman" w:hAnsi="Times New Roman"/>
          <w:b/>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jc w:val="center"/>
        <w:rPr>
          <w:rFonts w:ascii="Times New Roman" w:hAnsi="Times New Roman" w:eastAsia="仿宋_GB2312;仿宋" w:cs="Times New Roman"/>
          <w:b/>
          <w:color w:val="000000"/>
          <w:sz w:val="32"/>
          <w:szCs w:val="32"/>
        </w:rPr>
      </w:pPr>
      <w:r>
        <w:rPr>
          <w:rFonts w:ascii="Times New Roman" w:hAnsi="Times New Roman" w:cs="Times New Roman" w:eastAsia="仿宋_GB2312;仿宋"/>
          <w:b/>
          <w:color w:val="000000"/>
          <w:sz w:val="32"/>
          <w:szCs w:val="32"/>
        </w:rPr>
        <w:t>天津市市场监督管理委员会</w:t>
      </w:r>
      <w:r>
        <w:rPr>
          <w:rFonts w:ascii="Times New Roman" w:hAnsi="Times New Roman" w:cs="Times New Roman" w:eastAsia="Times New Roman"/>
          <w:b/>
          <w:color w:val="000000"/>
          <w:sz w:val="32"/>
          <w:szCs w:val="32"/>
        </w:rPr>
        <w:t xml:space="preserve">  </w:t>
      </w:r>
      <w:r>
        <w:rPr>
          <w:rFonts w:ascii="仿宋_GB2312;仿宋" w:hAnsi="仿宋_GB2312;仿宋" w:eastAsia="仿宋_GB2312;仿宋"/>
          <w:b/>
          <w:sz w:val="32"/>
          <w:szCs w:val="32"/>
        </w:rPr>
        <w:t>制定</w:t>
      </w:r>
    </w:p>
    <w:p>
      <w:pPr>
        <w:pStyle w:val="Normal"/>
        <w:ind w:firstLine="640" w:end="0"/>
        <w:rPr>
          <w:rFonts w:ascii="Times New Roman" w:hAnsi="Times New Roman" w:eastAsia="仿宋_GB2312;仿宋" w:cs="Times New Roman"/>
          <w:b/>
          <w:color w:val="000000"/>
          <w:sz w:val="32"/>
          <w:szCs w:val="32"/>
        </w:rPr>
      </w:pPr>
      <w:r>
        <w:rPr>
          <w:rFonts w:eastAsia="仿宋_GB2312;仿宋" w:cs="Times New Roman" w:ascii="Times New Roman" w:hAnsi="Times New Roman"/>
          <w:b/>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jc w:val="center"/>
        <w:rPr>
          <w:rFonts w:ascii="Times New Roman" w:hAnsi="Times New Roman" w:eastAsia="仿宋_GB2312;仿宋" w:cs="Times New Roman"/>
          <w:b/>
          <w:color w:val="000000"/>
          <w:sz w:val="44"/>
          <w:szCs w:val="44"/>
        </w:rPr>
      </w:pPr>
      <w:r>
        <w:rPr>
          <w:rFonts w:eastAsia="仿宋_GB2312;仿宋" w:cs="Times New Roman" w:ascii="Times New Roman" w:hAnsi="Times New Roman"/>
          <w:b/>
          <w:color w:val="000000"/>
          <w:sz w:val="44"/>
          <w:szCs w:val="44"/>
        </w:rPr>
      </w:r>
    </w:p>
    <w:p>
      <w:pPr>
        <w:pStyle w:val="Normal"/>
        <w:jc w:val="center"/>
        <w:rPr>
          <w:rFonts w:ascii="Times New Roman" w:hAnsi="Times New Roman" w:eastAsia="仿宋_GB2312;仿宋" w:cs="Times New Roman"/>
          <w:b/>
          <w:color w:val="000000"/>
          <w:sz w:val="44"/>
          <w:szCs w:val="44"/>
        </w:rPr>
      </w:pPr>
      <w:r>
        <w:rPr>
          <w:rFonts w:eastAsia="仿宋_GB2312;仿宋" w:cs="Times New Roman" w:ascii="Times New Roman" w:hAnsi="Times New Roman"/>
          <w:b/>
          <w:color w:val="000000"/>
          <w:sz w:val="44"/>
          <w:szCs w:val="44"/>
        </w:rPr>
      </w:r>
    </w:p>
    <w:p>
      <w:pPr>
        <w:pStyle w:val="Normal"/>
        <w:jc w:val="center"/>
        <w:rPr>
          <w:rFonts w:ascii="方正黑体_GBK" w:hAnsi="方正黑体_GBK" w:eastAsia="方正黑体_GBK" w:cs="方正黑体_GBK"/>
          <w:b/>
          <w:color w:val="000000"/>
          <w:sz w:val="28"/>
          <w:szCs w:val="28"/>
        </w:rPr>
      </w:pPr>
      <w:r>
        <w:rPr>
          <w:rFonts w:ascii="方正黑体_GBK" w:hAnsi="方正黑体_GBK" w:cs="方正黑体_GBK" w:eastAsia="方正黑体_GBK"/>
          <w:b/>
          <w:color w:val="000000"/>
          <w:sz w:val="28"/>
          <w:szCs w:val="28"/>
        </w:rPr>
        <w:t>使  用  说  明</w:t>
      </w:r>
    </w:p>
    <w:p>
      <w:pPr>
        <w:pStyle w:val="Normal"/>
        <w:rPr>
          <w:rFonts w:ascii="Times New Roman" w:hAnsi="Times New Roman" w:eastAsia="仿宋_GB2312;仿宋" w:cs="Times New Roman"/>
          <w:color w:val="000000"/>
          <w:sz w:val="32"/>
          <w:szCs w:val="32"/>
        </w:rPr>
      </w:pPr>
      <w:r>
        <w:rPr>
          <w:rFonts w:ascii="Times New Roman" w:hAnsi="Times New Roman" w:cs="Times New Roman" w:eastAsia="仿宋_GB2312;仿宋"/>
          <w:color w:val="000000"/>
          <w:sz w:val="32"/>
          <w:szCs w:val="32"/>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Times New Roman" w:hAnsi="Times New Roman" w:cs="Times New Roman" w:eastAsia="仿宋_GB2312;仿宋"/>
          <w:color w:val="000000"/>
          <w:sz w:val="32"/>
          <w:szCs w:val="32"/>
        </w:rPr>
        <w:t>　</w:t>
      </w:r>
      <w:r>
        <w:rPr>
          <w:rFonts w:ascii="方正书宋_GBK" w:hAnsi="方正书宋_GBK" w:cs="方正书宋_GBK" w:eastAsia="方正书宋_GBK"/>
          <w:color w:val="000000"/>
          <w:sz w:val="22"/>
          <w:szCs w:val="22"/>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此合同文本通用于天津市行政区域内拍卖企业接受的拍卖委托业务。</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当事人在签订合同前</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仔细阅读此文本各项条款。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3.“1.</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为选择适用内容</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当事人应根据实际情况</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在“□”中画“√”进行选择。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争议解决方式条款中“仲裁”、“诉讼”只能选择其一。如选择仲裁条款，应写明选择的仲裁机构。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 xml:space="preserve">5. </w:t>
      </w:r>
      <w:r>
        <w:rPr>
          <w:rFonts w:ascii="方正书宋_GBK" w:hAnsi="方正书宋_GBK" w:cs="方正书宋_GBK" w:eastAsia="方正书宋_GBK"/>
          <w:color w:val="000000"/>
          <w:sz w:val="22"/>
          <w:szCs w:val="22"/>
        </w:rPr>
        <w:t>当事人不得以保密约定的事项对抗国家行政、司法机关代表国家依法行使职权的行为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若对合同条款进行补充、修改，可作为附件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附件为此合同的组成部分</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具有同等的法律数力。</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．该合同文本供当事人参照使用。</w:t>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spacing w:lineRule="exact" w:line="56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spacing w:lineRule="exact" w:line="56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spacing w:lineRule="exact" w:line="56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spacing w:lineRule="exact" w:line="56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jc w:val="center"/>
        <w:rPr>
          <w:rFonts w:ascii="方正小标宋_GBK" w:hAnsi="方正小标宋_GBK" w:eastAsia="方正小标宋_GBK" w:cs="方正小标宋_GBK"/>
          <w:b/>
          <w:color w:val="000000"/>
          <w:sz w:val="40"/>
          <w:szCs w:val="40"/>
        </w:rPr>
      </w:pPr>
      <w:r>
        <w:rPr>
          <w:rFonts w:ascii="方正小标宋_GBK" w:hAnsi="方正小标宋_GBK" w:cs="方正小标宋_GBK" w:eastAsia="方正小标宋_GBK"/>
          <w:b/>
          <w:color w:val="000000"/>
          <w:sz w:val="40"/>
          <w:szCs w:val="40"/>
        </w:rPr>
        <w:t>天津市委托拍卖合同</w:t>
      </w:r>
    </w:p>
    <w:p>
      <w:pPr>
        <w:pStyle w:val="Normal"/>
        <w:spacing w:lineRule="exact" w:line="560"/>
        <w:ind w:firstLine="640" w:end="0"/>
        <w:rPr>
          <w:rFonts w:ascii="Times New Roman" w:hAnsi="Times New Roman" w:eastAsia="仿宋_GB2312;仿宋" w:cs="Times New Roman"/>
          <w:b/>
          <w:color w:val="000000"/>
          <w:sz w:val="32"/>
          <w:szCs w:val="32"/>
        </w:rPr>
      </w:pPr>
      <w:r>
        <w:rPr>
          <w:rFonts w:eastAsia="仿宋_GB2312;仿宋" w:cs="Times New Roman" w:ascii="Times New Roman" w:hAnsi="Times New Roman"/>
          <w:b/>
          <w:color w:val="000000"/>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委托人：</w:t>
      </w:r>
      <w:r>
        <w:rPr>
          <w:rFonts w:ascii="方正书宋_GBK" w:hAnsi="方正书宋_GBK" w:cs="方正书宋_GBK" w:eastAsia="方正书宋_GBK"/>
          <w:b/>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拍卖人：</w:t>
      </w: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b/>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根据《中华人民共和国拍卖法》，《中华人民共和国合同法》以及其他有关法律法规的规定，在平等、自愿、公平、诚实信用原则的基础上，经协商一致，签订本合同。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一、拍卖标的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委托人自愿委托拍卖人依法拍卖如下标的：</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委托人保证对拍卖标的拥有无争议的所有权（处分权），并根据拍卖人的要求提供拍卖标的有关证明和相关资料，说明知道或应当知道的瑕疵。</w:t>
      </w:r>
    </w:p>
    <w:p>
      <w:pPr>
        <w:pStyle w:val="Normal"/>
        <w:keepNext w:val="false"/>
        <w:keepLines w:val="false"/>
        <w:pageBreakBefore w:val="false"/>
        <w:widowControl w:val="false"/>
        <w:kinsoku w:val="true"/>
        <w:overflowPunct w:val="true"/>
        <w:autoSpaceDE w:val="true"/>
        <w:bidi w:val="0"/>
        <w:snapToGrid w:val="true"/>
        <w:spacing w:lineRule="exact" w:line="420"/>
        <w:ind w:firstLine="330" w:start="16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拍卖人认为需要对拍卖标的进行评估的，可以委托</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hanging="110" w:start="16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评估，评估费用由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承担。</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拍卖人认为需要对拍卖标的进行鉴定的，可以选择：</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自行鉴定。</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委托</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鉴定。</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鉴定费用由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鉴定结论与委托人声明的拍卖标的状况不相符的，拍卖人有权要求变更或解除合同。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二、拍卖标的的交付时间、地点、方式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委托人应于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日前将本合同所载拍卖标的交付给拍卖人，交付地点：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，交付方式：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，交付后的保管费用由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拍卖标的于拍卖成交后，经拍卖人监督由委托人交付（转移）给买受人。</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三、拍卖方式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增价拍卖。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减价拍卖。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无估价拍卖。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密封式招标拍卖。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四、拍卖形式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现场拍卖。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网络拍卖。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五、拍卖期限及地点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拍卖人应于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日之前在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举办拍卖会，对本合同拍卖标的进行拍卖。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六、佣金、费用及支付方式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拍卖标的经拍卖成交的，委托人按拍卖成交总额</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的比例向拍卖人支付佣金。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拍卖人直接从拍卖价款中扣除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委托人直接支付给拍卖人。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拍卖标的未成交的，委托人向拍卖人支付用于标的物进行评估、鉴定、仓储保管、保险、公告、广告等费用，为保留价的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七、价款的支付方式、期限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拍卖标的经拍卖成交后，拍卖人应在交割之日起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日内将拍卖成交款支付给委托人，支付方式为：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委托人在拍卖开始前可以撤回拍卖标的。委托人撤回拍卖标的的应当向拍卖人支付合理费用，为保留价的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八、拍卖标的未成交的约定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因未成交或买受人未按约定交割等不可归责于拍卖人的原因致使拍卖标的未成交的，委托人与拍卖人可以选择：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续签合同。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双方约定解除合同的，委托人应在接到拍卖人通知之日起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日内领回拍卖标的，超过期限未领的，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九、保密约定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拍卖人应对委托人身份、拍卖标的保留价及</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负责保密。</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十、违约责任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委托人故意隐瞒委托拍卖其没有所有权和依法不得处分的拍卖标的物品或财产权利的，应依法承担责任，并赔偿拍卖人因此所造成的损失。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委托人对其拍卖标的瑕疵未向拍卖人说明造成损失的，应由委托人承担损害赔偿责任。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拍卖人逾期向委托人支付拍卖标的成交价款的，应向委托人每日支付应付价款万分之五的违约金。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拍卖人违反合同约定泄露拍卖保留价的，应向委托人按拍卖保留价的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支付违约金；委托人违反合同约定泄露拍卖保留价，致使拍卖标的不能成交的，应向拍卖人按拍卖保留价的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拍卖人由于对拍卖标的保管不善造成损坏的，由双方按损坏程度协商解决；丢失的，拍卖人应按保留价负责赔偿。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十一、争议解决方式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双方在履行合同中发生的争议，由双方协商解决。协商不成的双方同意按以下第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向人民法院提起诉讼。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十二、其他约定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委托人不得参与拍卖竞买，也不得委托他人代为竞买本合同拍卖标的。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拍卖人不得参与或委托他人竞买，也不得擅自将拍卖标的委托他人进行拍卖。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3.</w:t>
      </w:r>
      <w:r>
        <w:rPr>
          <w:rFonts w:eastAsia="方正书宋_GBK" w:cs="方正书宋_GBK" w:ascii="方正书宋_GBK" w:hAnsi="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
          <w:color w:val="000000"/>
          <w:sz w:val="22"/>
          <w:szCs w:val="22"/>
        </w:rPr>
        <w:t>十三、附则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本合同与合同附件、补充协议具有同等法律效力。本合同经双方当事人签字（盖章）、签字（盖章）之日起生效。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本合同一式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份，其中委托人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份，拍卖人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份，均具有同等法律效力。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委托人（签字</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盖章）：              拍卖人（盖章）：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pacing w:val="-40"/>
          <w:sz w:val="22"/>
          <w:szCs w:val="22"/>
        </w:rPr>
        <w:t>身份证号码</w:t>
      </w:r>
      <w:r>
        <w:rPr>
          <w:rFonts w:eastAsia="方正书宋_GBK" w:cs="方正书宋_GBK" w:ascii="方正书宋_GBK" w:hAnsi="方正书宋_GBK"/>
          <w:color w:val="000000"/>
          <w:spacing w:val="-40"/>
          <w:sz w:val="22"/>
          <w:szCs w:val="22"/>
        </w:rPr>
        <w:t>\</w:t>
      </w:r>
      <w:r>
        <w:rPr>
          <w:rFonts w:ascii="方正书宋_GBK" w:hAnsi="方正书宋_GBK" w:cs="方正书宋_GBK" w:eastAsia="方正书宋_GBK"/>
          <w:color w:val="000000"/>
          <w:spacing w:val="-40"/>
          <w:sz w:val="22"/>
          <w:szCs w:val="22"/>
        </w:rPr>
        <w:t>统一社会信用代码</w:t>
      </w:r>
      <w:r>
        <w:rPr>
          <w:rFonts w:ascii="方正书宋_GBK" w:hAnsi="方正书宋_GBK" w:cs="方正书宋_GBK" w:eastAsia="方正书宋_GBK"/>
          <w:color w:val="000000"/>
          <w:sz w:val="22"/>
          <w:szCs w:val="22"/>
        </w:rPr>
        <w:t>：           统一社会信用代码：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住所：                            住所：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法定代表人（签字）：               法定代表人（签字）：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委托代理人（签字）：               委托代理人（签字）：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电话：                            电话：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传真：                            传真：</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                        邮政编码：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开户银行：                        开户银行：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帐号：                            帐号：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签订日期：                        签订日期：</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签订地点：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2750" w:start="338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start="4628"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天津市拍卖行业协会</w:t>
      </w:r>
    </w:p>
    <w:p>
      <w:pPr>
        <w:pStyle w:val="Normal"/>
        <w:keepNext w:val="false"/>
        <w:keepLines w:val="false"/>
        <w:pageBreakBefore w:val="false"/>
        <w:widowControl w:val="false"/>
        <w:kinsoku w:val="true"/>
        <w:overflowPunct w:val="true"/>
        <w:autoSpaceDE w:val="true"/>
        <w:bidi w:val="0"/>
        <w:snapToGrid w:val="true"/>
        <w:spacing w:lineRule="exact" w:line="420"/>
        <w:ind w:firstLine="3780" w:end="0"/>
        <w:textAlignment w:val="auto"/>
        <w:rPr>
          <w:rFonts w:ascii="方正书宋_GBK" w:hAnsi="方正书宋_GBK" w:eastAsia="方正书宋_GBK" w:cs="方正书宋_GBK"/>
          <w:color w:val="000000"/>
          <w:spacing w:val="-20"/>
          <w:sz w:val="22"/>
          <w:szCs w:val="22"/>
        </w:rPr>
      </w:pPr>
      <w:r>
        <w:rPr>
          <w:rFonts w:ascii="方正书宋_GBK" w:hAnsi="方正书宋_GBK" w:cs="方正书宋_GBK" w:eastAsia="方正书宋_GBK"/>
          <w:color w:val="000000"/>
          <w:spacing w:val="-20"/>
          <w:sz w:val="22"/>
          <w:szCs w:val="22"/>
        </w:rPr>
        <w:t>地址：天津市河西区罗马花园一期</w:t>
      </w:r>
      <w:r>
        <w:rPr>
          <w:rFonts w:eastAsia="方正书宋_GBK" w:cs="方正书宋_GBK" w:ascii="方正书宋_GBK" w:hAnsi="方正书宋_GBK"/>
          <w:color w:val="000000"/>
          <w:spacing w:val="-20"/>
          <w:sz w:val="22"/>
          <w:szCs w:val="22"/>
        </w:rPr>
        <w:t>18</w:t>
      </w:r>
      <w:r>
        <w:rPr>
          <w:rFonts w:ascii="方正书宋_GBK" w:hAnsi="方正书宋_GBK" w:cs="方正书宋_GBK" w:eastAsia="方正书宋_GBK"/>
          <w:color w:val="000000"/>
          <w:spacing w:val="-20"/>
          <w:sz w:val="22"/>
          <w:szCs w:val="22"/>
        </w:rPr>
        <w:t>栋</w:t>
      </w:r>
      <w:r>
        <w:rPr>
          <w:rFonts w:eastAsia="方正书宋_GBK" w:cs="方正书宋_GBK" w:ascii="方正书宋_GBK" w:hAnsi="方正书宋_GBK"/>
          <w:color w:val="000000"/>
          <w:spacing w:val="-20"/>
          <w:sz w:val="22"/>
          <w:szCs w:val="22"/>
        </w:rPr>
        <w:t>2</w:t>
      </w:r>
      <w:r>
        <w:rPr>
          <w:rFonts w:ascii="方正书宋_GBK" w:hAnsi="方正书宋_GBK" w:cs="方正书宋_GBK" w:eastAsia="方正书宋_GBK"/>
          <w:color w:val="000000"/>
          <w:spacing w:val="-20"/>
          <w:sz w:val="22"/>
          <w:szCs w:val="22"/>
        </w:rPr>
        <w:t>门</w:t>
      </w:r>
      <w:r>
        <w:rPr>
          <w:rFonts w:eastAsia="方正书宋_GBK" w:cs="方正书宋_GBK" w:ascii="方正书宋_GBK" w:hAnsi="方正书宋_GBK"/>
          <w:color w:val="000000"/>
          <w:spacing w:val="-20"/>
          <w:sz w:val="22"/>
          <w:szCs w:val="22"/>
        </w:rPr>
        <w:t>1803</w:t>
      </w:r>
      <w:r>
        <w:rPr>
          <w:rFonts w:ascii="方正书宋_GBK" w:hAnsi="方正书宋_GBK" w:cs="方正书宋_GBK" w:eastAsia="方正书宋_GBK"/>
          <w:color w:val="000000"/>
          <w:spacing w:val="-20"/>
          <w:sz w:val="22"/>
          <w:szCs w:val="22"/>
        </w:rPr>
        <w:t>室</w:t>
      </w:r>
    </w:p>
    <w:p>
      <w:pPr>
        <w:pStyle w:val="Normal"/>
        <w:keepNext w:val="false"/>
        <w:keepLines w:val="false"/>
        <w:pageBreakBefore w:val="false"/>
        <w:widowControl w:val="false"/>
        <w:kinsoku w:val="true"/>
        <w:overflowPunct w:val="true"/>
        <w:autoSpaceDE w:val="true"/>
        <w:bidi w:val="0"/>
        <w:snapToGrid w:val="true"/>
        <w:spacing w:lineRule="exact" w:line="420"/>
        <w:ind w:firstLine="517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电话：</w:t>
      </w:r>
      <w:r>
        <w:rPr>
          <w:rFonts w:eastAsia="方正书宋_GBK" w:cs="方正书宋_GBK" w:ascii="方正书宋_GBK" w:hAnsi="方正书宋_GBK"/>
          <w:color w:val="000000"/>
          <w:sz w:val="22"/>
          <w:szCs w:val="22"/>
        </w:rPr>
        <w:t>022-60828118</w:t>
      </w:r>
    </w:p>
    <w:p>
      <w:pPr>
        <w:pStyle w:val="Normal"/>
        <w:rPr>
          <w:rFonts w:ascii="Times New Roman" w:hAnsi="Times New Roman" w:eastAsia="方正书宋_GBK" w:cs="Times New Roman"/>
          <w:color w:val="000000"/>
          <w:sz w:val="22"/>
          <w:szCs w:val="22"/>
        </w:rPr>
      </w:pPr>
      <w:r>
        <w:rPr>
          <w:rFonts w:eastAsia="方正书宋_GBK" w:cs="Times New Roman" w:ascii="Times New Roman" w:hAnsi="Times New Roman"/>
          <w:color w:val="000000"/>
          <w:sz w:val="22"/>
          <w:szCs w:val="22"/>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snapToGrid w:val="false"/>
        <w:spacing w:lineRule="exact" w:line="600"/>
        <w:rPr>
          <w:rFonts w:ascii="Times New Roman" w:hAnsi="Times New Roman" w:eastAsia="方正小标宋简体" w:cs="Times New Roman"/>
          <w:color w:val="000000"/>
          <w:sz w:val="44"/>
          <w:szCs w:val="44"/>
        </w:rPr>
      </w:pPr>
      <w:r>
        <w:rPr>
          <w:rFonts w:eastAsia="方正小标宋简体" w:cs="Times New Roman" w:ascii="Times New Roman" w:hAnsi="Times New Roman"/>
          <w:color w:val="000000"/>
          <w:sz w:val="44"/>
          <w:szCs w:val="44"/>
        </w:rPr>
      </w:r>
    </w:p>
    <w:sectPr>
      <w:footerReference w:type="even" r:id="rId2"/>
      <w:footerReference w:type="default" r:id="rId3"/>
      <w:type w:val="nextPage"/>
      <w:pgSz w:w="11906" w:h="16838"/>
      <w:pgMar w:left="1588" w:right="1474" w:gutter="0" w:header="0"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仿宋_GB2312">
    <w:altName w:val="仿宋"/>
    <w:charset w:val="86"/>
    <w:family w:val="modern"/>
    <w:pitch w:val="default"/>
  </w:font>
  <w:font w:name="Liberation Sans">
    <w:altName w:val="Arial"/>
    <w:charset w:val="01" w:characterSet="utf-8"/>
    <w:family w:val="swiss"/>
    <w:pitch w:val="variable"/>
  </w:font>
  <w:font w:name="Arial">
    <w:charset w:val="00" w:characterSet="windows-1252"/>
    <w:family w:val="swiss"/>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4">
              <wp:simplePos x="0" y="0"/>
              <wp:positionH relativeFrom="page">
                <wp:posOffset>1172210</wp:posOffset>
              </wp:positionH>
              <wp:positionV relativeFrom="paragraph">
                <wp:posOffset>-217170</wp:posOffset>
              </wp:positionV>
              <wp:extent cx="686435" cy="248920"/>
              <wp:effectExtent l="0" t="0" r="0" b="0"/>
              <wp:wrapSquare wrapText="bothSides"/>
              <wp:docPr id="1" name="Frame1"/>
              <a:graphic xmlns:a="http://schemas.openxmlformats.org/drawingml/2006/main">
                <a:graphicData uri="http://schemas.microsoft.com/office/word/2010/wordprocessingShape">
                  <wps:wsp>
                    <wps:cNvSpPr txBox="1"/>
                    <wps:spPr>
                      <a:xfrm>
                        <a:off x="0" y="0"/>
                        <a:ext cx="686435" cy="248920"/>
                      </a:xfrm>
                      <a:prstGeom prst="rect"/>
                      <a:solidFill>
                        <a:srgbClr val="FFFFFF">
                          <a:alpha val="0"/>
                        </a:srgbClr>
                      </a:solidFill>
                    </wps:spPr>
                    <wps:txbx>
                      <w:txbxContent>
                        <w:p>
                          <w:pPr>
                            <w:pStyle w:val="Footer"/>
                            <w:rPr>
                              <w:rStyle w:val="PageNumber"/>
                              <w:sz w:val="21"/>
                              <w:szCs w:val="21"/>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6</w:t>
                          </w:r>
                          <w:r>
                            <w:rPr>
                              <w:sz w:val="28"/>
                              <w:szCs w:val="28"/>
                              <w:rFonts w:ascii="Times New Roman" w:hAnsi="Times New Roman"/>
                            </w:rPr>
                            <w:fldChar w:fldCharType="end"/>
                          </w:r>
                          <w:r>
                            <w:rPr>
                              <w:rStyle w:val="PageNumber"/>
                              <w:rFonts w:ascii="Times New Roman" w:hAnsi="Times New Roman"/>
                              <w:sz w:val="28"/>
                              <w:szCs w:val="28"/>
                            </w:rPr>
                            <w:t>—</w:t>
                          </w:r>
                        </w:p>
                      </w:txbxContent>
                    </wps:txbx>
                    <wps:bodyPr anchor="t" lIns="0" tIns="0" rIns="0" bIns="0">
                      <a:noAutofit/>
                    </wps:bodyPr>
                  </wps:wsp>
                </a:graphicData>
              </a:graphic>
            </wp:anchor>
          </w:drawing>
        </mc:Choice>
        <mc:Fallback>
          <w:pict>
            <v:rect fillcolor="#FFFFFF" style="position:absolute;rotation:-0;width:54.05pt;height:19.6pt;mso-wrap-distance-left:0pt;mso-wrap-distance-right:0pt;mso-wrap-distance-top:0pt;mso-wrap-distance-bottom:0pt;margin-top:-17.1pt;mso-position-vertical-relative:text;margin-left:92.3pt;mso-position-horizontal-relative:page">
              <v:fill opacity="0f"/>
              <v:textbox inset="0in,0in,0in,0in">
                <w:txbxContent>
                  <w:p>
                    <w:pPr>
                      <w:pStyle w:val="Footer"/>
                      <w:rPr>
                        <w:rStyle w:val="PageNumber"/>
                        <w:sz w:val="21"/>
                        <w:szCs w:val="21"/>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6</w:t>
                    </w:r>
                    <w:r>
                      <w:rPr>
                        <w:sz w:val="28"/>
                        <w:szCs w:val="28"/>
                        <w:rFonts w:ascii="Times New Roman" w:hAnsi="Times New Roman"/>
                      </w:rPr>
                      <w:fldChar w:fldCharType="end"/>
                    </w:r>
                    <w:r>
                      <w:rPr>
                        <w:rStyle w:val="PageNumber"/>
                        <w:rFonts w:ascii="Times New Roman" w:hAnsi="Times New Roman"/>
                        <w:sz w:val="28"/>
                        <w:szCs w:val="28"/>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38"/>
      <w:jc w:val="end"/>
      <w:rPr>
        <w:sz w:val="28"/>
        <w:szCs w:val="28"/>
      </w:rPr>
    </w:pPr>
    <w:r>
      <w:rPr>
        <w:rFonts w:cs="仿宋_GB2312;仿宋"/>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5</w:t>
    </w:r>
    <w:r>
      <w:rPr>
        <w:sz w:val="28"/>
        <w:szCs w:val="28"/>
        <w:rFonts w:ascii="Times New Roman" w:hAnsi="Times New Roman"/>
      </w:rPr>
      <w:fldChar w:fldCharType="end"/>
    </w:r>
    <w:r>
      <w:rPr>
        <w:rFonts w:cs="仿宋_GB2312;仿宋"/>
        <w:sz w:val="28"/>
        <w:szCs w:val="28"/>
      </w:rPr>
      <w:t>—</w:t>
    </w:r>
  </w:p>
  <w:p>
    <w:pPr>
      <w:pStyle w:val="Footer"/>
      <w:ind w:end="360"/>
      <w:rPr>
        <w:sz w:val="28"/>
        <w:szCs w:val="28"/>
      </w:rPr>
    </w:pPr>
    <w:r>
      <w:rPr>
        <w:sz w:val="28"/>
        <w:szCs w:val="28"/>
      </w:rPr>
    </w:r>
  </w:p>
</w:ftr>
</file>

<file path=word/settings.xml><?xml version="1.0" encoding="utf-8"?>
<w:settings xmlns:w="http://schemas.openxmlformats.org/wordprocessingml/2006/main">
  <w:zoom w:percent="15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PageNumber">
    <w:name w:val="page number"/>
    <w:basedOn w:val="Style14"/>
    <w:rPr/>
  </w:style>
  <w:style w:type="character" w:styleId="Char">
    <w:name w:val="正文文本 Char"/>
    <w:qFormat/>
    <w:rPr>
      <w:rFonts w:ascii="Calibri" w:hAnsi="Calibri" w:eastAsia="宋体" w:cs="Times New Roman"/>
    </w:rPr>
  </w:style>
  <w:style w:type="character" w:styleId="Char1">
    <w:name w:val="页眉 Char"/>
    <w:qFormat/>
    <w:rPr>
      <w:kern w:val="2"/>
      <w:sz w:val="18"/>
      <w:szCs w:val="18"/>
    </w:rPr>
  </w:style>
  <w:style w:type="character" w:styleId="Char2">
    <w:name w:val="页脚 Char"/>
    <w:qFormat/>
    <w:rPr>
      <w:rFonts w:ascii="仿宋_GB2312;仿宋" w:hAnsi="仿宋_GB2312;仿宋" w:eastAsia="仿宋_GB2312;仿宋" w:cs="Times New Roman"/>
      <w:color w:val="000000"/>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rFonts w:ascii="仿宋_GB2312;仿宋" w:hAnsi="仿宋_GB2312;仿宋" w:eastAsia="仿宋_GB2312;仿宋" w:cs="Times New Roman"/>
      <w:color w:val="000000"/>
      <w:sz w:val="18"/>
      <w:szCs w:val="18"/>
    </w:rPr>
  </w:style>
  <w:style w:type="paragraph" w:styleId="CharCharCharCharCharChar1Char">
    <w:name w:val="Char Char Char Char Char Char1 Char"/>
    <w:basedOn w:val="Normal"/>
    <w:qFormat/>
    <w:pPr>
      <w:widowControl/>
      <w:spacing w:lineRule="exact" w:line="240" w:before="0" w:after="160"/>
      <w:jc w:val="start"/>
    </w:pPr>
    <w:rPr>
      <w:rFonts w:ascii="Arial" w:hAnsi="Arial" w:eastAsia="Times New Roman" w:cs="Verdana"/>
      <w:b/>
      <w:kern w:val="0"/>
      <w:sz w:val="24"/>
      <w:szCs w:val="32"/>
      <w:lang w:eastAsia="en-U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2019-12-17T15:32:00Z</dcterms:created>
  <dc:creator>管理员</dc:creator>
  <dc:description/>
  <dc:language>zh-CN</dc:language>
  <cp:lastModifiedBy>袁弘信</cp:lastModifiedBy>
  <dcterms:modified xsi:type="dcterms:W3CDTF">2022-02-18T17:43:33Z</dcterms:modified>
  <cp:revision>2</cp:revision>
  <dc:subject/>
  <dc:title>天津市市场和质量监督管理委员会文件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