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sz w:val="20"/>
        </w:rPr>
      </w:pPr>
    </w:p>
    <w:p>
      <w:pPr>
        <w:pStyle w:val="3"/>
        <w:tabs>
          <w:tab w:val="left" w:pos="4543"/>
          <w:tab w:val="left" w:pos="8467"/>
        </w:tabs>
        <w:spacing w:before="171"/>
        <w:ind w:left="111"/>
        <w:rPr>
          <w:rFonts w:ascii="黑体" w:hAnsi="黑体" w:eastAsia="黑体"/>
        </w:rPr>
      </w:pPr>
      <w:r>
        <w:rPr>
          <w:rFonts w:hint="eastAsia" w:ascii="黑体" w:hAnsi="黑体" w:eastAsia="黑体"/>
          <w:spacing w:val="2"/>
        </w:rPr>
        <w:tab/>
      </w:r>
      <w:r>
        <w:rPr>
          <w:rFonts w:hint="eastAsia" w:ascii="黑体" w:hAnsi="黑体" w:eastAsia="黑体"/>
          <w:spacing w:val="-3"/>
        </w:rPr>
        <w:t>合同</w:t>
      </w:r>
      <w:r>
        <w:rPr>
          <w:rFonts w:hint="eastAsia" w:ascii="黑体" w:hAnsi="黑体" w:eastAsia="黑体"/>
        </w:rPr>
        <w:t>编号：</w:t>
      </w:r>
      <w:r>
        <w:rPr>
          <w:rFonts w:hint="eastAsia" w:ascii="黑体" w:hAnsi="黑体" w:eastAsia="黑体"/>
        </w:rPr>
        <w:tab/>
      </w:r>
      <w:r>
        <w:rPr>
          <w:rFonts w:hint="eastAsia" w:ascii="黑体" w:hAnsi="黑体" w:eastAsia="黑体"/>
        </w:rPr>
        <w:t>号</w:t>
      </w:r>
    </w:p>
    <w:p>
      <w:pPr>
        <w:pStyle w:val="3"/>
        <w:rPr>
          <w:rFonts w:ascii="黑体"/>
          <w:sz w:val="20"/>
        </w:rPr>
      </w:pPr>
    </w:p>
    <w:p>
      <w:pPr>
        <w:pStyle w:val="3"/>
        <w:rPr>
          <w:rFonts w:ascii="黑体"/>
          <w:sz w:val="20"/>
        </w:rPr>
      </w:pPr>
    </w:p>
    <w:p>
      <w:pPr>
        <w:pStyle w:val="3"/>
        <w:rPr>
          <w:rFonts w:ascii="黑体"/>
          <w:sz w:val="20"/>
        </w:rPr>
      </w:pPr>
    </w:p>
    <w:p>
      <w:pPr>
        <w:pStyle w:val="3"/>
        <w:rPr>
          <w:rFonts w:ascii="黑体"/>
          <w:sz w:val="20"/>
        </w:rPr>
      </w:pPr>
    </w:p>
    <w:p>
      <w:pPr>
        <w:pStyle w:val="3"/>
        <w:rPr>
          <w:rFonts w:ascii="黑体"/>
          <w:sz w:val="20"/>
        </w:rPr>
      </w:pPr>
    </w:p>
    <w:p>
      <w:pPr>
        <w:pStyle w:val="3"/>
        <w:spacing w:before="9"/>
        <w:rPr>
          <w:rFonts w:ascii="黑体"/>
          <w:sz w:val="23"/>
        </w:rPr>
      </w:pPr>
    </w:p>
    <w:p>
      <w:pPr>
        <w:tabs>
          <w:tab w:val="left" w:pos="2860"/>
        </w:tabs>
        <w:spacing w:line="826" w:lineRule="exact"/>
        <w:ind w:right="315"/>
        <w:jc w:val="center"/>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sz w:val="40"/>
          <w:szCs w:val="40"/>
          <w:u w:val="thick"/>
        </w:rPr>
        <w:t xml:space="preserve"> </w:t>
      </w:r>
      <w:r>
        <w:rPr>
          <w:rFonts w:hint="eastAsia" w:ascii="方正小标宋_GBK" w:hAnsi="方正小标宋_GBK" w:eastAsia="方正小标宋_GBK" w:cs="方正小标宋_GBK"/>
          <w:sz w:val="40"/>
          <w:szCs w:val="40"/>
          <w:u w:val="thick"/>
        </w:rPr>
        <w:tab/>
      </w:r>
      <w:r>
        <w:rPr>
          <w:rFonts w:hint="eastAsia" w:ascii="方正小标宋_GBK" w:hAnsi="方正小标宋_GBK" w:eastAsia="方正小标宋_GBK" w:cs="方正小标宋_GBK"/>
          <w:spacing w:val="-3"/>
          <w:sz w:val="40"/>
          <w:szCs w:val="40"/>
        </w:rPr>
        <w:t>前期物业服务合同</w:t>
      </w:r>
    </w:p>
    <w:p>
      <w:pPr>
        <w:pStyle w:val="3"/>
        <w:spacing w:line="390" w:lineRule="exact"/>
        <w:ind w:right="320"/>
        <w:jc w:val="center"/>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（示 范 文 本）</w:t>
      </w:r>
    </w:p>
    <w:p>
      <w:pPr>
        <w:pStyle w:val="3"/>
        <w:rPr>
          <w:rFonts w:ascii="楷体_GB2312"/>
        </w:rPr>
      </w:pPr>
    </w:p>
    <w:p>
      <w:pPr>
        <w:pStyle w:val="3"/>
        <w:rPr>
          <w:rFonts w:ascii="楷体_GB2312"/>
        </w:rPr>
      </w:pPr>
    </w:p>
    <w:p>
      <w:pPr>
        <w:pStyle w:val="3"/>
        <w:spacing w:before="1"/>
        <w:rPr>
          <w:rFonts w:hint="eastAsia" w:ascii="方正书宋_GBK" w:hAnsi="方正书宋_GBK" w:eastAsia="方正书宋_GBK" w:cs="方正书宋_GBK"/>
          <w:sz w:val="28"/>
          <w:szCs w:val="28"/>
        </w:rPr>
      </w:pPr>
    </w:p>
    <w:p>
      <w:pPr>
        <w:pStyle w:val="3"/>
        <w:tabs>
          <w:tab w:val="left" w:pos="8511"/>
        </w:tabs>
        <w:ind w:left="111"/>
        <w:rPr>
          <w:rFonts w:hint="eastAsia" w:ascii="方正书宋_GBK" w:hAnsi="方正书宋_GBK" w:eastAsia="方正书宋_GBK" w:cs="方正书宋_GBK"/>
          <w:sz w:val="28"/>
          <w:szCs w:val="28"/>
        </w:rPr>
      </w:pPr>
      <w:r>
        <w:rPr>
          <w:rFonts w:hint="eastAsia" w:ascii="方正书宋_GBK" w:hAnsi="方正书宋_GBK" w:eastAsia="方正书宋_GBK" w:cs="方正书宋_GBK"/>
          <w:w w:val="99"/>
          <w:sz w:val="28"/>
          <w:szCs w:val="28"/>
        </w:rPr>
        <w:t>甲</w:t>
      </w:r>
      <w:r>
        <w:rPr>
          <w:rFonts w:hint="eastAsia" w:ascii="方正书宋_GBK" w:hAnsi="方正书宋_GBK" w:eastAsia="方正书宋_GBK" w:cs="方正书宋_GBK"/>
          <w:spacing w:val="2"/>
          <w:w w:val="99"/>
          <w:sz w:val="28"/>
          <w:szCs w:val="28"/>
        </w:rPr>
        <w:t>方</w:t>
      </w:r>
      <w:r>
        <w:rPr>
          <w:rFonts w:hint="eastAsia" w:ascii="方正书宋_GBK" w:hAnsi="方正书宋_GBK" w:eastAsia="方正书宋_GBK" w:cs="方正书宋_GBK"/>
          <w:w w:val="99"/>
          <w:sz w:val="28"/>
          <w:szCs w:val="28"/>
        </w:rPr>
        <w:t>（开</w:t>
      </w:r>
      <w:r>
        <w:rPr>
          <w:rFonts w:hint="eastAsia" w:ascii="方正书宋_GBK" w:hAnsi="方正书宋_GBK" w:eastAsia="方正书宋_GBK" w:cs="方正书宋_GBK"/>
          <w:spacing w:val="2"/>
          <w:w w:val="99"/>
          <w:sz w:val="28"/>
          <w:szCs w:val="28"/>
        </w:rPr>
        <w:t>发</w:t>
      </w:r>
      <w:r>
        <w:rPr>
          <w:rFonts w:hint="eastAsia" w:ascii="方正书宋_GBK" w:hAnsi="方正书宋_GBK" w:eastAsia="方正书宋_GBK" w:cs="方正书宋_GBK"/>
          <w:w w:val="99"/>
          <w:sz w:val="28"/>
          <w:szCs w:val="28"/>
        </w:rPr>
        <w:t>建设</w:t>
      </w:r>
      <w:r>
        <w:rPr>
          <w:rFonts w:hint="eastAsia" w:ascii="方正书宋_GBK" w:hAnsi="方正书宋_GBK" w:eastAsia="方正书宋_GBK" w:cs="方正书宋_GBK"/>
          <w:spacing w:val="2"/>
          <w:w w:val="99"/>
          <w:sz w:val="28"/>
          <w:szCs w:val="28"/>
        </w:rPr>
        <w:t>单</w:t>
      </w:r>
      <w:r>
        <w:rPr>
          <w:rFonts w:hint="eastAsia" w:ascii="方正书宋_GBK" w:hAnsi="方正书宋_GBK" w:eastAsia="方正书宋_GBK" w:cs="方正书宋_GBK"/>
          <w:w w:val="99"/>
          <w:sz w:val="28"/>
          <w:szCs w:val="28"/>
        </w:rPr>
        <w:t>位</w:t>
      </w:r>
      <w:r>
        <w:rPr>
          <w:rFonts w:hint="eastAsia" w:ascii="方正书宋_GBK" w:hAnsi="方正书宋_GBK" w:eastAsia="方正书宋_GBK" w:cs="方正书宋_GBK"/>
          <w:spacing w:val="-159"/>
          <w:w w:val="99"/>
          <w:sz w:val="28"/>
          <w:szCs w:val="28"/>
        </w:rPr>
        <w:t>）</w:t>
      </w:r>
      <w:r>
        <w:rPr>
          <w:rFonts w:hint="eastAsia" w:ascii="方正书宋_GBK" w:hAnsi="方正书宋_GBK" w:eastAsia="方正书宋_GBK" w:cs="方正书宋_GBK"/>
          <w:w w:val="99"/>
          <w:sz w:val="28"/>
          <w:szCs w:val="28"/>
        </w:rPr>
        <w:t>：</w:t>
      </w:r>
      <w:r>
        <w:rPr>
          <w:rFonts w:hint="eastAsia" w:ascii="方正书宋_GBK" w:hAnsi="方正书宋_GBK" w:eastAsia="方正书宋_GBK" w:cs="方正书宋_GBK"/>
          <w:w w:val="99"/>
          <w:sz w:val="28"/>
          <w:szCs w:val="28"/>
          <w:u w:val="single"/>
        </w:rPr>
        <w:t xml:space="preserve"> </w:t>
      </w:r>
      <w:r>
        <w:rPr>
          <w:rFonts w:hint="eastAsia" w:ascii="方正书宋_GBK" w:hAnsi="方正书宋_GBK" w:eastAsia="方正书宋_GBK" w:cs="方正书宋_GBK"/>
          <w:sz w:val="28"/>
          <w:szCs w:val="28"/>
          <w:u w:val="single"/>
        </w:rPr>
        <w:tab/>
      </w:r>
    </w:p>
    <w:p>
      <w:pPr>
        <w:pStyle w:val="3"/>
        <w:rPr>
          <w:rFonts w:hint="eastAsia" w:ascii="方正书宋_GBK" w:hAnsi="方正书宋_GBK" w:eastAsia="方正书宋_GBK" w:cs="方正书宋_GBK"/>
          <w:sz w:val="28"/>
          <w:szCs w:val="28"/>
        </w:rPr>
      </w:pPr>
    </w:p>
    <w:p>
      <w:pPr>
        <w:pStyle w:val="3"/>
        <w:rPr>
          <w:rFonts w:hint="eastAsia" w:ascii="方正书宋_GBK" w:hAnsi="方正书宋_GBK" w:eastAsia="方正书宋_GBK" w:cs="方正书宋_GBK"/>
          <w:sz w:val="28"/>
          <w:szCs w:val="28"/>
        </w:rPr>
      </w:pPr>
    </w:p>
    <w:p>
      <w:pPr>
        <w:pStyle w:val="3"/>
        <w:spacing w:before="3"/>
        <w:rPr>
          <w:rFonts w:hint="eastAsia" w:ascii="方正书宋_GBK" w:hAnsi="方正书宋_GBK" w:eastAsia="方正书宋_GBK" w:cs="方正书宋_GBK"/>
          <w:sz w:val="28"/>
          <w:szCs w:val="28"/>
        </w:rPr>
      </w:pPr>
    </w:p>
    <w:p>
      <w:pPr>
        <w:pStyle w:val="3"/>
        <w:tabs>
          <w:tab w:val="left" w:pos="8511"/>
        </w:tabs>
        <w:spacing w:before="64"/>
        <w:ind w:left="111"/>
        <w:rPr>
          <w:rFonts w:hint="eastAsia" w:ascii="方正书宋_GBK" w:hAnsi="方正书宋_GBK" w:eastAsia="方正书宋_GBK" w:cs="方正书宋_GBK"/>
          <w:sz w:val="28"/>
          <w:szCs w:val="28"/>
        </w:rPr>
      </w:pPr>
      <w:r>
        <w:rPr>
          <w:rFonts w:hint="eastAsia" w:ascii="方正书宋_GBK" w:hAnsi="方正书宋_GBK" w:eastAsia="方正书宋_GBK" w:cs="方正书宋_GBK"/>
          <w:w w:val="99"/>
          <w:sz w:val="28"/>
          <w:szCs w:val="28"/>
        </w:rPr>
        <w:t>乙</w:t>
      </w:r>
      <w:r>
        <w:rPr>
          <w:rFonts w:hint="eastAsia" w:ascii="方正书宋_GBK" w:hAnsi="方正书宋_GBK" w:eastAsia="方正书宋_GBK" w:cs="方正书宋_GBK"/>
          <w:spacing w:val="2"/>
          <w:w w:val="99"/>
          <w:sz w:val="28"/>
          <w:szCs w:val="28"/>
        </w:rPr>
        <w:t>方</w:t>
      </w:r>
      <w:r>
        <w:rPr>
          <w:rFonts w:hint="eastAsia" w:ascii="方正书宋_GBK" w:hAnsi="方正书宋_GBK" w:eastAsia="方正书宋_GBK" w:cs="方正书宋_GBK"/>
          <w:w w:val="99"/>
          <w:sz w:val="28"/>
          <w:szCs w:val="28"/>
        </w:rPr>
        <w:t>（物</w:t>
      </w:r>
      <w:r>
        <w:rPr>
          <w:rFonts w:hint="eastAsia" w:ascii="方正书宋_GBK" w:hAnsi="方正书宋_GBK" w:eastAsia="方正书宋_GBK" w:cs="方正书宋_GBK"/>
          <w:spacing w:val="2"/>
          <w:w w:val="99"/>
          <w:sz w:val="28"/>
          <w:szCs w:val="28"/>
        </w:rPr>
        <w:t>业</w:t>
      </w:r>
      <w:r>
        <w:rPr>
          <w:rFonts w:hint="eastAsia" w:ascii="方正书宋_GBK" w:hAnsi="方正书宋_GBK" w:eastAsia="方正书宋_GBK" w:cs="方正书宋_GBK"/>
          <w:w w:val="99"/>
          <w:sz w:val="28"/>
          <w:szCs w:val="28"/>
        </w:rPr>
        <w:t>管理人</w:t>
      </w:r>
      <w:r>
        <w:rPr>
          <w:rFonts w:hint="eastAsia" w:ascii="方正书宋_GBK" w:hAnsi="方正书宋_GBK" w:eastAsia="方正书宋_GBK" w:cs="方正书宋_GBK"/>
          <w:spacing w:val="-159"/>
          <w:w w:val="99"/>
          <w:sz w:val="28"/>
          <w:szCs w:val="28"/>
        </w:rPr>
        <w:t>）</w:t>
      </w:r>
      <w:r>
        <w:rPr>
          <w:rFonts w:hint="eastAsia" w:ascii="方正书宋_GBK" w:hAnsi="方正书宋_GBK" w:eastAsia="方正书宋_GBK" w:cs="方正书宋_GBK"/>
          <w:w w:val="99"/>
          <w:sz w:val="28"/>
          <w:szCs w:val="28"/>
        </w:rPr>
        <w:t>：</w:t>
      </w:r>
      <w:r>
        <w:rPr>
          <w:rFonts w:hint="eastAsia" w:ascii="方正书宋_GBK" w:hAnsi="方正书宋_GBK" w:eastAsia="方正书宋_GBK" w:cs="方正书宋_GBK"/>
          <w:w w:val="99"/>
          <w:sz w:val="28"/>
          <w:szCs w:val="28"/>
          <w:u w:val="single"/>
        </w:rPr>
        <w:t xml:space="preserve"> </w:t>
      </w:r>
      <w:r>
        <w:rPr>
          <w:rFonts w:hint="eastAsia" w:ascii="方正书宋_GBK" w:hAnsi="方正书宋_GBK" w:eastAsia="方正书宋_GBK" w:cs="方正书宋_GBK"/>
          <w:sz w:val="28"/>
          <w:szCs w:val="28"/>
          <w:u w:val="single"/>
        </w:rPr>
        <w:tab/>
      </w:r>
    </w:p>
    <w:p>
      <w:pPr>
        <w:pStyle w:val="3"/>
        <w:rPr>
          <w:rFonts w:hint="eastAsia" w:ascii="方正书宋_GBK" w:hAnsi="方正书宋_GBK" w:eastAsia="方正书宋_GBK" w:cs="方正书宋_GBK"/>
          <w:sz w:val="28"/>
          <w:szCs w:val="28"/>
        </w:rPr>
      </w:pPr>
    </w:p>
    <w:p>
      <w:pPr>
        <w:pStyle w:val="3"/>
      </w:pPr>
    </w:p>
    <w:p>
      <w:pPr>
        <w:pStyle w:val="3"/>
        <w:spacing w:before="55" w:line="328" w:lineRule="auto"/>
        <w:ind w:right="3090"/>
        <w:jc w:val="both"/>
      </w:pPr>
    </w:p>
    <w:p>
      <w:pPr>
        <w:pStyle w:val="3"/>
        <w:spacing w:before="55" w:line="328" w:lineRule="auto"/>
        <w:ind w:right="3090"/>
        <w:jc w:val="both"/>
      </w:pPr>
    </w:p>
    <w:p>
      <w:pPr>
        <w:pStyle w:val="3"/>
        <w:spacing w:before="55" w:line="328" w:lineRule="auto"/>
        <w:ind w:right="3090"/>
        <w:jc w:val="both"/>
      </w:pPr>
    </w:p>
    <w:p>
      <w:pPr>
        <w:pStyle w:val="3"/>
        <w:spacing w:before="55" w:line="328" w:lineRule="auto"/>
        <w:ind w:right="3090"/>
        <w:jc w:val="both"/>
      </w:pPr>
    </w:p>
    <w:p>
      <w:pPr>
        <w:pStyle w:val="3"/>
        <w:jc w:val="both"/>
      </w:pPr>
    </w:p>
    <w:p>
      <w:pPr>
        <w:pStyle w:val="3"/>
        <w:jc w:val="center"/>
        <w:rPr>
          <w:rFonts w:hint="eastAsia" w:ascii="方正楷体_GBK" w:hAnsi="方正楷体_GBK" w:eastAsia="方正楷体_GBK" w:cs="方正楷体_GBK"/>
          <w:sz w:val="28"/>
          <w:szCs w:val="28"/>
        </w:rPr>
      </w:pPr>
    </w:p>
    <w:p>
      <w:pPr>
        <w:pStyle w:val="3"/>
        <w:jc w:val="center"/>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新疆维吾尔自治区住房和城乡建设厅</w:t>
      </w:r>
    </w:p>
    <w:p>
      <w:pPr>
        <w:pStyle w:val="3"/>
        <w:jc w:val="center"/>
        <w:rPr>
          <w:rFonts w:hint="eastAsia" w:ascii="方正楷体_GBK" w:hAnsi="方正楷体_GBK" w:eastAsia="方正楷体_GBK" w:cs="方正楷体_GBK"/>
          <w:sz w:val="28"/>
          <w:szCs w:val="28"/>
          <w:lang w:val="en-US"/>
        </w:rPr>
      </w:pPr>
      <w:r>
        <w:rPr>
          <w:rFonts w:hint="eastAsia" w:ascii="方正楷体_GBK" w:hAnsi="方正楷体_GBK" w:eastAsia="方正楷体_GBK" w:cs="方正楷体_GBK"/>
          <w:sz w:val="28"/>
          <w:szCs w:val="28"/>
        </w:rPr>
        <w:t>新疆维吾尔自治区市场监督管理局</w:t>
      </w:r>
    </w:p>
    <w:p>
      <w:pPr>
        <w:pStyle w:val="3"/>
        <w:spacing w:before="55" w:line="328" w:lineRule="auto"/>
        <w:ind w:right="3090"/>
        <w:jc w:val="center"/>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lang w:val="en-US" w:eastAsia="zh-CN"/>
        </w:rPr>
        <w:t xml:space="preserve">                                          </w:t>
      </w:r>
      <w:r>
        <w:rPr>
          <w:rFonts w:hint="eastAsia" w:ascii="方正楷体_GBK" w:hAnsi="方正楷体_GBK" w:eastAsia="方正楷体_GBK" w:cs="方正楷体_GBK"/>
          <w:sz w:val="28"/>
          <w:szCs w:val="28"/>
          <w:lang w:val="en-US"/>
        </w:rPr>
        <w:t>2019</w:t>
      </w:r>
      <w:r>
        <w:rPr>
          <w:rFonts w:hint="eastAsia" w:ascii="方正楷体_GBK" w:hAnsi="方正楷体_GBK" w:eastAsia="方正楷体_GBK" w:cs="方正楷体_GBK"/>
          <w:sz w:val="28"/>
          <w:szCs w:val="28"/>
        </w:rPr>
        <w:t>年</w:t>
      </w:r>
      <w:r>
        <w:rPr>
          <w:rFonts w:hint="eastAsia" w:ascii="方正楷体_GBK" w:hAnsi="方正楷体_GBK" w:eastAsia="方正楷体_GBK" w:cs="方正楷体_GBK"/>
          <w:sz w:val="28"/>
          <w:szCs w:val="28"/>
          <w:lang w:val="en-US"/>
        </w:rPr>
        <w:t>5</w:t>
      </w:r>
      <w:r>
        <w:rPr>
          <w:rFonts w:hint="eastAsia" w:ascii="方正楷体_GBK" w:hAnsi="方正楷体_GBK" w:eastAsia="方正楷体_GBK" w:cs="方正楷体_GBK"/>
          <w:sz w:val="28"/>
          <w:szCs w:val="28"/>
        </w:rPr>
        <w:t>月</w:t>
      </w:r>
    </w:p>
    <w:p>
      <w:pPr>
        <w:spacing w:line="328" w:lineRule="auto"/>
        <w:jc w:val="both"/>
        <w:rPr>
          <w:sz w:val="32"/>
          <w:szCs w:val="32"/>
        </w:rPr>
        <w:sectPr>
          <w:type w:val="continuous"/>
          <w:pgSz w:w="11910" w:h="16840"/>
          <w:pgMar w:top="1580" w:right="1100" w:bottom="280" w:left="1420" w:header="720" w:footer="720" w:gutter="0"/>
          <w:cols w:space="720" w:num="1"/>
        </w:sectPr>
      </w:pPr>
    </w:p>
    <w:p>
      <w:pPr>
        <w:pStyle w:val="3"/>
        <w:spacing w:before="7"/>
        <w:rPr>
          <w:rFonts w:ascii="宋体"/>
          <w:sz w:val="18"/>
        </w:rPr>
      </w:pPr>
    </w:p>
    <w:p>
      <w:pPr>
        <w:pStyle w:val="2"/>
        <w:tabs>
          <w:tab w:val="left" w:pos="1099"/>
        </w:tabs>
        <w:spacing w:line="520" w:lineRule="exact"/>
        <w:rPr>
          <w:rFonts w:hint="eastAsia" w:ascii="方正黑体_GBK" w:hAnsi="方正黑体_GBK" w:eastAsia="方正黑体_GBK" w:cs="方正黑体_GBK"/>
          <w:sz w:val="28"/>
          <w:szCs w:val="28"/>
        </w:rPr>
      </w:pPr>
      <w:r>
        <w:rPr>
          <w:rFonts w:hint="eastAsia" w:ascii="方正黑体_GBK" w:hAnsi="方正黑体_GBK" w:eastAsia="方正黑体_GBK" w:cs="方正黑体_GBK"/>
          <w:sz w:val="28"/>
          <w:szCs w:val="28"/>
        </w:rPr>
        <w:t>说</w:t>
      </w:r>
      <w:r>
        <w:rPr>
          <w:rFonts w:hint="eastAsia" w:ascii="方正黑体_GBK" w:hAnsi="方正黑体_GBK" w:eastAsia="方正黑体_GBK" w:cs="方正黑体_GBK"/>
          <w:sz w:val="28"/>
          <w:szCs w:val="28"/>
        </w:rPr>
        <w:tab/>
      </w:r>
      <w:r>
        <w:rPr>
          <w:rFonts w:hint="eastAsia" w:ascii="方正黑体_GBK" w:hAnsi="方正黑体_GBK" w:eastAsia="方正黑体_GBK" w:cs="方正黑体_GBK"/>
          <w:sz w:val="28"/>
          <w:szCs w:val="28"/>
        </w:rPr>
        <w:t>明</w:t>
      </w:r>
    </w:p>
    <w:p>
      <w:pPr>
        <w:pStyle w:val="3"/>
        <w:spacing w:before="7" w:line="520" w:lineRule="exact"/>
        <w:rPr>
          <w:rFonts w:ascii="Arial Unicode MS"/>
        </w:rPr>
      </w:pPr>
    </w:p>
    <w:p>
      <w:pPr>
        <w:pStyle w:val="13"/>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0" w:right="429" w:firstLine="0"/>
        <w:jc w:val="both"/>
        <w:textAlignment w:val="auto"/>
        <w:rPr>
          <w:rFonts w:hint="eastAsia" w:ascii="方正书宋_GBK" w:hAnsi="方正书宋_GBK" w:eastAsia="方正书宋_GBK" w:cs="方正书宋_GBK"/>
          <w:sz w:val="22"/>
          <w:szCs w:val="22"/>
        </w:rPr>
      </w:pPr>
      <w:r>
        <w:rPr>
          <w:rFonts w:hint="eastAsia"/>
          <w:spacing w:val="-10"/>
          <w:w w:val="95"/>
          <w:sz w:val="32"/>
          <w:szCs w:val="32"/>
          <w:lang w:val="en-US"/>
        </w:rPr>
        <w:t xml:space="preserve">    </w:t>
      </w:r>
      <w:r>
        <w:rPr>
          <w:rFonts w:hint="eastAsia" w:ascii="方正书宋_GBK" w:hAnsi="方正书宋_GBK" w:eastAsia="方正书宋_GBK" w:cs="方正书宋_GBK"/>
          <w:spacing w:val="-10"/>
          <w:w w:val="95"/>
          <w:sz w:val="22"/>
          <w:szCs w:val="22"/>
          <w:lang w:val="en-US"/>
        </w:rPr>
        <w:t>1、</w:t>
      </w:r>
      <w:r>
        <w:rPr>
          <w:rFonts w:hint="eastAsia" w:ascii="方正书宋_GBK" w:hAnsi="方正书宋_GBK" w:eastAsia="方正书宋_GBK" w:cs="方正书宋_GBK"/>
          <w:spacing w:val="-10"/>
          <w:w w:val="95"/>
          <w:sz w:val="22"/>
          <w:szCs w:val="22"/>
        </w:rPr>
        <w:t>本合同为示范文本，由新疆维吾尔自治</w:t>
      </w:r>
      <w:bookmarkStart w:id="0" w:name="_GoBack"/>
      <w:bookmarkEnd w:id="0"/>
      <w:r>
        <w:rPr>
          <w:rFonts w:hint="eastAsia" w:ascii="方正书宋_GBK" w:hAnsi="方正书宋_GBK" w:eastAsia="方正书宋_GBK" w:cs="方正书宋_GBK"/>
          <w:spacing w:val="-10"/>
          <w:w w:val="95"/>
          <w:sz w:val="22"/>
          <w:szCs w:val="22"/>
        </w:rPr>
        <w:t>区住房和城乡建设厅、新疆维吾尔自治区</w:t>
      </w:r>
      <w:r>
        <w:rPr>
          <w:rFonts w:hint="eastAsia" w:ascii="方正书宋_GBK" w:hAnsi="方正书宋_GBK" w:eastAsia="方正书宋_GBK" w:cs="方正书宋_GBK"/>
          <w:spacing w:val="-15"/>
          <w:sz w:val="22"/>
          <w:szCs w:val="22"/>
        </w:rPr>
        <w:t>市场监督管理局共同制定，供自治区行政区域内的前期物业服务合同双方参照使用。</w:t>
      </w:r>
    </w:p>
    <w:p>
      <w:pPr>
        <w:pStyle w:val="13"/>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0" w:right="429" w:firstLine="378"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10"/>
          <w:w w:val="95"/>
          <w:sz w:val="22"/>
          <w:szCs w:val="22"/>
          <w:lang w:val="en-US"/>
        </w:rPr>
        <w:t xml:space="preserve">    2、</w:t>
      </w:r>
      <w:r>
        <w:rPr>
          <w:rFonts w:hint="eastAsia" w:ascii="方正书宋_GBK" w:hAnsi="方正书宋_GBK" w:eastAsia="方正书宋_GBK" w:cs="方正书宋_GBK"/>
          <w:spacing w:val="-10"/>
          <w:w w:val="95"/>
          <w:sz w:val="22"/>
          <w:szCs w:val="22"/>
        </w:rPr>
        <w:t>前期物业服务是指在业主、业主大会选聘物业管理人之</w:t>
      </w:r>
      <w:r>
        <w:rPr>
          <w:rFonts w:hint="eastAsia" w:ascii="方正书宋_GBK" w:hAnsi="方正书宋_GBK" w:eastAsia="方正书宋_GBK" w:cs="方正书宋_GBK"/>
          <w:spacing w:val="-10"/>
          <w:sz w:val="22"/>
          <w:szCs w:val="22"/>
        </w:rPr>
        <w:t>前，由开发建设单位选聘物业管理人实施的物业服务。</w:t>
      </w:r>
    </w:p>
    <w:p>
      <w:pPr>
        <w:pStyle w:val="13"/>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0" w:right="429" w:firstLine="386"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8"/>
          <w:w w:val="95"/>
          <w:sz w:val="22"/>
          <w:szCs w:val="22"/>
          <w:lang w:val="en-US"/>
        </w:rPr>
        <w:t xml:space="preserve">    3、</w:t>
      </w:r>
      <w:r>
        <w:rPr>
          <w:rFonts w:hint="eastAsia" w:ascii="方正书宋_GBK" w:hAnsi="方正书宋_GBK" w:eastAsia="方正书宋_GBK" w:cs="方正书宋_GBK"/>
          <w:spacing w:val="-8"/>
          <w:w w:val="95"/>
          <w:sz w:val="22"/>
          <w:szCs w:val="22"/>
        </w:rPr>
        <w:t>本合同所称的甲方为开发建设单位，乙方为开发建设单位</w:t>
      </w:r>
      <w:r>
        <w:rPr>
          <w:rFonts w:hint="eastAsia" w:ascii="方正书宋_GBK" w:hAnsi="方正书宋_GBK" w:eastAsia="方正书宋_GBK" w:cs="方正书宋_GBK"/>
          <w:spacing w:val="-8"/>
          <w:sz w:val="22"/>
          <w:szCs w:val="22"/>
        </w:rPr>
        <w:t>通过招投标或按规定以协议方式选聘的物业管理人。</w:t>
      </w:r>
    </w:p>
    <w:p>
      <w:pPr>
        <w:pStyle w:val="13"/>
        <w:keepNext w:val="0"/>
        <w:keepLines w:val="0"/>
        <w:pageBreakBefore w:val="0"/>
        <w:widowControl w:val="0"/>
        <w:numPr>
          <w:ilvl w:val="0"/>
          <w:numId w:val="1"/>
        </w:numPr>
        <w:tabs>
          <w:tab w:val="left" w:pos="660"/>
          <w:tab w:val="left" w:pos="1072"/>
        </w:tabs>
        <w:kinsoku/>
        <w:wordWrap/>
        <w:overflowPunct/>
        <w:topLinePunct w:val="0"/>
        <w:autoSpaceDE w:val="0"/>
        <w:autoSpaceDN w:val="0"/>
        <w:bidi w:val="0"/>
        <w:adjustRightInd/>
        <w:snapToGrid/>
        <w:spacing w:line="420" w:lineRule="exact"/>
        <w:ind w:left="0" w:right="313" w:firstLine="62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5"/>
          <w:sz w:val="22"/>
          <w:szCs w:val="22"/>
        </w:rPr>
        <w:t>合同双方在签约之前应当仔细阅读本示范文本的内容。经双方协商一致，可以对本示范文本的条款内容（包括选择内容、填写空格部位的内容）进行选择、修改、增补或删减。</w:t>
      </w:r>
    </w:p>
    <w:p>
      <w:pPr>
        <w:pStyle w:val="13"/>
        <w:keepNext w:val="0"/>
        <w:keepLines w:val="0"/>
        <w:pageBreakBefore w:val="0"/>
        <w:widowControl w:val="0"/>
        <w:numPr>
          <w:ilvl w:val="0"/>
          <w:numId w:val="1"/>
        </w:numPr>
        <w:tabs>
          <w:tab w:val="left" w:pos="660"/>
          <w:tab w:val="left" w:pos="1072"/>
        </w:tabs>
        <w:kinsoku/>
        <w:wordWrap/>
        <w:overflowPunct/>
        <w:topLinePunct w:val="0"/>
        <w:autoSpaceDE w:val="0"/>
        <w:autoSpaceDN w:val="0"/>
        <w:bidi w:val="0"/>
        <w:adjustRightInd/>
        <w:snapToGrid/>
        <w:spacing w:line="420" w:lineRule="exact"/>
        <w:ind w:left="0" w:right="313" w:firstLine="62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在签订合同时，合同双方应当出示有关证明文件。</w:t>
      </w:r>
    </w:p>
    <w:p>
      <w:pPr>
        <w:pStyle w:val="13"/>
        <w:keepNext w:val="0"/>
        <w:keepLines w:val="0"/>
        <w:pageBreakBefore w:val="0"/>
        <w:widowControl w:val="0"/>
        <w:numPr>
          <w:ilvl w:val="0"/>
          <w:numId w:val="1"/>
        </w:numPr>
        <w:tabs>
          <w:tab w:val="left" w:pos="660"/>
          <w:tab w:val="left" w:pos="1072"/>
        </w:tabs>
        <w:kinsoku/>
        <w:wordWrap/>
        <w:overflowPunct/>
        <w:topLinePunct w:val="0"/>
        <w:autoSpaceDE w:val="0"/>
        <w:autoSpaceDN w:val="0"/>
        <w:bidi w:val="0"/>
        <w:adjustRightInd/>
        <w:snapToGrid/>
        <w:spacing w:line="420" w:lineRule="exact"/>
        <w:ind w:left="0" w:right="313" w:firstLine="62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8"/>
          <w:w w:val="95"/>
          <w:sz w:val="22"/>
          <w:szCs w:val="22"/>
        </w:rPr>
        <w:t>物业服务经营方式分为包干制、酬金制等。包干制是指由</w:t>
      </w:r>
      <w:r>
        <w:rPr>
          <w:rFonts w:hint="eastAsia" w:ascii="方正书宋_GBK" w:hAnsi="方正书宋_GBK" w:eastAsia="方正书宋_GBK" w:cs="方正书宋_GBK"/>
          <w:spacing w:val="-14"/>
          <w:w w:val="95"/>
          <w:sz w:val="22"/>
          <w:szCs w:val="22"/>
        </w:rPr>
        <w:t>业主向物业管理人支付固定物业服务费用，盈余或者亏损均由</w:t>
      </w:r>
      <w:r>
        <w:rPr>
          <w:rFonts w:hint="eastAsia" w:ascii="方正书宋_GBK" w:hAnsi="方正书宋_GBK" w:eastAsia="方正书宋_GBK" w:cs="方正书宋_GBK"/>
          <w:spacing w:val="-19"/>
          <w:sz w:val="22"/>
          <w:szCs w:val="22"/>
        </w:rPr>
        <w:t>物业管理人享有或者承担的物业服务计费方式。酬金制是指在</w:t>
      </w:r>
      <w:r>
        <w:rPr>
          <w:rFonts w:hint="eastAsia" w:ascii="方正书宋_GBK" w:hAnsi="方正书宋_GBK" w:eastAsia="方正书宋_GBK" w:cs="方正书宋_GBK"/>
          <w:spacing w:val="6"/>
          <w:w w:val="95"/>
          <w:sz w:val="22"/>
          <w:szCs w:val="22"/>
        </w:rPr>
        <w:t>预收的物业服务费中按约定比例或者约定数额提取酬金支付给</w:t>
      </w:r>
      <w:r>
        <w:rPr>
          <w:rFonts w:hint="eastAsia" w:ascii="方正书宋_GBK" w:hAnsi="方正书宋_GBK" w:eastAsia="方正书宋_GBK" w:cs="方正书宋_GBK"/>
          <w:spacing w:val="-7"/>
          <w:sz w:val="22"/>
          <w:szCs w:val="22"/>
        </w:rPr>
        <w:t>物业管理人，其余全部用于物业服务合同约定的支出，结余或者不足均由业主享有或者承担的物业服务计费方式。</w:t>
      </w:r>
    </w:p>
    <w:p>
      <w:pPr>
        <w:pStyle w:val="13"/>
        <w:keepNext w:val="0"/>
        <w:keepLines w:val="0"/>
        <w:pageBreakBefore w:val="0"/>
        <w:widowControl w:val="0"/>
        <w:numPr>
          <w:ilvl w:val="0"/>
          <w:numId w:val="1"/>
        </w:numPr>
        <w:tabs>
          <w:tab w:val="left" w:pos="660"/>
          <w:tab w:val="left" w:pos="1072"/>
        </w:tabs>
        <w:kinsoku/>
        <w:wordWrap/>
        <w:overflowPunct/>
        <w:topLinePunct w:val="0"/>
        <w:autoSpaceDE w:val="0"/>
        <w:autoSpaceDN w:val="0"/>
        <w:bidi w:val="0"/>
        <w:adjustRightInd/>
        <w:snapToGrid/>
        <w:spacing w:line="420" w:lineRule="exact"/>
        <w:ind w:left="0" w:right="313" w:firstLine="62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12"/>
          <w:sz w:val="22"/>
          <w:szCs w:val="22"/>
        </w:rPr>
        <w:t>根据《中华人民共和国城市房地产管理法》、《中华人民共和国物权法》、《城市房地产开发经营管理条例》、《物业管理条例》、《商品房销售管理办法》、《新疆维吾尔自治区物业管理条例》</w:t>
      </w:r>
      <w:r>
        <w:rPr>
          <w:rFonts w:hint="eastAsia" w:ascii="方正书宋_GBK" w:hAnsi="方正书宋_GBK" w:eastAsia="方正书宋_GBK" w:cs="方正书宋_GBK"/>
          <w:spacing w:val="-14"/>
          <w:w w:val="95"/>
          <w:sz w:val="22"/>
          <w:szCs w:val="22"/>
        </w:rPr>
        <w:t>等法律法规规定，本合同作为商品房买卖合同的内容，对房屋买</w:t>
      </w:r>
      <w:r>
        <w:rPr>
          <w:rFonts w:hint="eastAsia" w:ascii="方正书宋_GBK" w:hAnsi="方正书宋_GBK" w:eastAsia="方正书宋_GBK" w:cs="方正书宋_GBK"/>
          <w:spacing w:val="-14"/>
          <w:sz w:val="22"/>
          <w:szCs w:val="22"/>
        </w:rPr>
        <w:t>受人具有约束力。</w:t>
      </w:r>
    </w:p>
    <w:p>
      <w:pPr>
        <w:spacing w:line="560" w:lineRule="exact"/>
        <w:jc w:val="both"/>
        <w:rPr>
          <w:sz w:val="32"/>
          <w:szCs w:val="32"/>
        </w:rPr>
        <w:sectPr>
          <w:pgSz w:w="11910" w:h="16840"/>
          <w:pgMar w:top="1580" w:right="1100" w:bottom="280" w:left="1420" w:header="720" w:footer="720" w:gutter="0"/>
          <w:cols w:space="720" w:num="1"/>
        </w:sectPr>
      </w:pPr>
    </w:p>
    <w:p>
      <w:pPr>
        <w:pStyle w:val="3"/>
        <w:spacing w:line="520" w:lineRule="exact"/>
        <w:rPr>
          <w:sz w:val="21"/>
        </w:rPr>
      </w:pPr>
    </w:p>
    <w:p>
      <w:pPr>
        <w:pStyle w:val="2"/>
        <w:tabs>
          <w:tab w:val="left" w:pos="2861"/>
        </w:tabs>
        <w:spacing w:line="520" w:lineRule="exact"/>
        <w:ind w:right="320"/>
        <w:rPr>
          <w:rFonts w:hint="eastAsia" w:ascii="方正小标宋_GBK" w:hAnsi="方正小标宋_GBK" w:eastAsia="方正小标宋_GBK" w:cs="方正小标宋_GBK"/>
          <w:sz w:val="40"/>
          <w:szCs w:val="40"/>
        </w:rPr>
      </w:pPr>
      <w:r>
        <w:rPr>
          <w:rFonts w:ascii="Times New Roman" w:eastAsia="Times New Roman"/>
          <w:w w:val="99"/>
          <w:u w:val="thick"/>
        </w:rPr>
        <w:t xml:space="preserve"> </w:t>
      </w:r>
      <w:r>
        <w:rPr>
          <w:rFonts w:ascii="Times New Roman" w:eastAsia="Times New Roman"/>
          <w:u w:val="thick"/>
        </w:rPr>
        <w:tab/>
      </w:r>
      <w:r>
        <w:rPr>
          <w:rFonts w:hint="eastAsia" w:ascii="方正小标宋_GBK" w:hAnsi="方正小标宋_GBK" w:eastAsia="方正小标宋_GBK" w:cs="方正小标宋_GBK"/>
          <w:sz w:val="40"/>
          <w:szCs w:val="40"/>
        </w:rPr>
        <w:t>前期物业服务合同</w:t>
      </w:r>
    </w:p>
    <w:p>
      <w:pPr>
        <w:pStyle w:val="3"/>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tabs>
          <w:tab w:val="left" w:pos="4671"/>
          <w:tab w:val="left" w:pos="7229"/>
        </w:tabs>
        <w:kinsoku/>
        <w:wordWrap/>
        <w:overflowPunct/>
        <w:topLinePunct w:val="0"/>
        <w:autoSpaceDE w:val="0"/>
        <w:autoSpaceDN w:val="0"/>
        <w:bidi w:val="0"/>
        <w:adjustRightInd/>
        <w:snapToGrid/>
        <w:spacing w:line="420" w:lineRule="exact"/>
        <w:ind w:left="111" w:right="215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w w:val="99"/>
          <w:sz w:val="22"/>
          <w:szCs w:val="22"/>
        </w:rPr>
        <w:t>甲</w:t>
      </w:r>
      <w:r>
        <w:rPr>
          <w:rFonts w:hint="eastAsia" w:ascii="方正书宋_GBK" w:hAnsi="方正书宋_GBK" w:eastAsia="方正书宋_GBK" w:cs="方正书宋_GBK"/>
          <w:spacing w:val="2"/>
          <w:w w:val="99"/>
          <w:sz w:val="22"/>
          <w:szCs w:val="22"/>
        </w:rPr>
        <w:t>方</w:t>
      </w:r>
      <w:r>
        <w:rPr>
          <w:rFonts w:hint="eastAsia" w:ascii="方正书宋_GBK" w:hAnsi="方正书宋_GBK" w:eastAsia="方正书宋_GBK" w:cs="方正书宋_GBK"/>
          <w:w w:val="99"/>
          <w:sz w:val="22"/>
          <w:szCs w:val="22"/>
        </w:rPr>
        <w:t>（开</w:t>
      </w:r>
      <w:r>
        <w:rPr>
          <w:rFonts w:hint="eastAsia" w:ascii="方正书宋_GBK" w:hAnsi="方正书宋_GBK" w:eastAsia="方正书宋_GBK" w:cs="方正书宋_GBK"/>
          <w:spacing w:val="2"/>
          <w:w w:val="99"/>
          <w:sz w:val="22"/>
          <w:szCs w:val="22"/>
        </w:rPr>
        <w:t>发</w:t>
      </w:r>
      <w:r>
        <w:rPr>
          <w:rFonts w:hint="eastAsia" w:ascii="方正书宋_GBK" w:hAnsi="方正书宋_GBK" w:eastAsia="方正书宋_GBK" w:cs="方正书宋_GBK"/>
          <w:w w:val="99"/>
          <w:sz w:val="22"/>
          <w:szCs w:val="22"/>
        </w:rPr>
        <w:t>建设</w:t>
      </w:r>
      <w:r>
        <w:rPr>
          <w:rFonts w:hint="eastAsia" w:ascii="方正书宋_GBK" w:hAnsi="方正书宋_GBK" w:eastAsia="方正书宋_GBK" w:cs="方正书宋_GBK"/>
          <w:spacing w:val="2"/>
          <w:w w:val="99"/>
          <w:sz w:val="22"/>
          <w:szCs w:val="22"/>
        </w:rPr>
        <w:t>单</w:t>
      </w:r>
      <w:r>
        <w:rPr>
          <w:rFonts w:hint="eastAsia" w:ascii="方正书宋_GBK" w:hAnsi="方正书宋_GBK" w:eastAsia="方正书宋_GBK" w:cs="方正书宋_GBK"/>
          <w:w w:val="99"/>
          <w:sz w:val="22"/>
          <w:szCs w:val="22"/>
        </w:rPr>
        <w:t>位</w:t>
      </w:r>
      <w:r>
        <w:rPr>
          <w:rFonts w:hint="eastAsia" w:ascii="方正书宋_GBK" w:hAnsi="方正书宋_GBK" w:eastAsia="方正书宋_GBK" w:cs="方正书宋_GBK"/>
          <w:spacing w:val="-159"/>
          <w:w w:val="99"/>
          <w:sz w:val="22"/>
          <w:szCs w:val="22"/>
        </w:rPr>
        <w:t>）</w:t>
      </w:r>
      <w:r>
        <w:rPr>
          <w:rFonts w:hint="eastAsia" w:ascii="方正书宋_GBK" w:hAnsi="方正书宋_GBK" w:eastAsia="方正书宋_GBK" w:cs="方正书宋_GBK"/>
          <w:w w:val="99"/>
          <w:sz w:val="22"/>
          <w:szCs w:val="22"/>
        </w:rPr>
        <w:t>：</w:t>
      </w:r>
      <w:r>
        <w:rPr>
          <w:rFonts w:hint="eastAsia" w:ascii="方正书宋_GBK" w:hAnsi="方正书宋_GBK" w:eastAsia="方正书宋_GBK" w:cs="方正书宋_GBK"/>
          <w:w w:val="99"/>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w w:val="95"/>
          <w:sz w:val="22"/>
          <w:szCs w:val="22"/>
        </w:rPr>
        <w:t>法定代表人：</w:t>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sz w:val="22"/>
          <w:szCs w:val="22"/>
          <w:u w:val="single"/>
        </w:rPr>
        <w:tab/>
      </w:r>
    </w:p>
    <w:p>
      <w:pPr>
        <w:pStyle w:val="3"/>
        <w:keepNext w:val="0"/>
        <w:keepLines w:val="0"/>
        <w:pageBreakBefore w:val="0"/>
        <w:widowControl w:val="0"/>
        <w:tabs>
          <w:tab w:val="left" w:pos="751"/>
          <w:tab w:val="left" w:pos="5151"/>
          <w:tab w:val="left" w:pos="6111"/>
        </w:tabs>
        <w:kinsoku/>
        <w:wordWrap/>
        <w:overflowPunct/>
        <w:topLinePunct w:val="0"/>
        <w:autoSpaceDE w:val="0"/>
        <w:autoSpaceDN w:val="0"/>
        <w:bidi w:val="0"/>
        <w:adjustRightInd/>
        <w:snapToGrid/>
        <w:spacing w:line="420" w:lineRule="exact"/>
        <w:ind w:left="111" w:right="3272"/>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w w:val="99"/>
          <w:sz w:val="22"/>
          <w:szCs w:val="22"/>
        </w:rPr>
        <w:t>授</w:t>
      </w:r>
      <w:r>
        <w:rPr>
          <w:rFonts w:hint="eastAsia" w:ascii="方正书宋_GBK" w:hAnsi="方正书宋_GBK" w:eastAsia="方正书宋_GBK" w:cs="方正书宋_GBK"/>
          <w:spacing w:val="2"/>
          <w:w w:val="99"/>
          <w:sz w:val="22"/>
          <w:szCs w:val="22"/>
        </w:rPr>
        <w:t>权</w:t>
      </w:r>
      <w:r>
        <w:rPr>
          <w:rFonts w:hint="eastAsia" w:ascii="方正书宋_GBK" w:hAnsi="方正书宋_GBK" w:eastAsia="方正书宋_GBK" w:cs="方正书宋_GBK"/>
          <w:w w:val="99"/>
          <w:sz w:val="22"/>
          <w:szCs w:val="22"/>
        </w:rPr>
        <w:t>委托</w:t>
      </w:r>
      <w:r>
        <w:rPr>
          <w:rFonts w:hint="eastAsia" w:ascii="方正书宋_GBK" w:hAnsi="方正书宋_GBK" w:eastAsia="方正书宋_GBK" w:cs="方正书宋_GBK"/>
          <w:spacing w:val="2"/>
          <w:w w:val="99"/>
          <w:sz w:val="22"/>
          <w:szCs w:val="22"/>
        </w:rPr>
        <w:t>人</w:t>
      </w:r>
      <w:r>
        <w:rPr>
          <w:rFonts w:hint="eastAsia" w:ascii="方正书宋_GBK" w:hAnsi="方正书宋_GBK" w:eastAsia="方正书宋_GBK" w:cs="方正书宋_GBK"/>
          <w:w w:val="99"/>
          <w:sz w:val="22"/>
          <w:szCs w:val="22"/>
        </w:rPr>
        <w:t>（代</w:t>
      </w:r>
      <w:r>
        <w:rPr>
          <w:rFonts w:hint="eastAsia" w:ascii="方正书宋_GBK" w:hAnsi="方正书宋_GBK" w:eastAsia="方正书宋_GBK" w:cs="方正书宋_GBK"/>
          <w:spacing w:val="2"/>
          <w:w w:val="99"/>
          <w:sz w:val="22"/>
          <w:szCs w:val="22"/>
        </w:rPr>
        <w:t>理</w:t>
      </w:r>
      <w:r>
        <w:rPr>
          <w:rFonts w:hint="eastAsia" w:ascii="方正书宋_GBK" w:hAnsi="方正书宋_GBK" w:eastAsia="方正书宋_GBK" w:cs="方正书宋_GBK"/>
          <w:w w:val="99"/>
          <w:sz w:val="22"/>
          <w:szCs w:val="22"/>
        </w:rPr>
        <w:t>人</w:t>
      </w:r>
      <w:r>
        <w:rPr>
          <w:rFonts w:hint="eastAsia" w:ascii="方正书宋_GBK" w:hAnsi="方正书宋_GBK" w:eastAsia="方正书宋_GBK" w:cs="方正书宋_GBK"/>
          <w:spacing w:val="-159"/>
          <w:w w:val="99"/>
          <w:sz w:val="22"/>
          <w:szCs w:val="22"/>
        </w:rPr>
        <w:t>）</w:t>
      </w:r>
      <w:r>
        <w:rPr>
          <w:rFonts w:hint="eastAsia" w:ascii="方正书宋_GBK" w:hAnsi="方正书宋_GBK" w:eastAsia="方正书宋_GBK" w:cs="方正书宋_GBK"/>
          <w:w w:val="99"/>
          <w:sz w:val="22"/>
          <w:szCs w:val="22"/>
        </w:rPr>
        <w:t>：</w:t>
      </w:r>
      <w:r>
        <w:rPr>
          <w:rFonts w:hint="eastAsia" w:ascii="方正书宋_GBK" w:hAnsi="方正书宋_GBK" w:eastAsia="方正书宋_GBK" w:cs="方正书宋_GBK"/>
          <w:w w:val="99"/>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住</w:t>
      </w:r>
      <w:r>
        <w:rPr>
          <w:rFonts w:hint="eastAsia" w:ascii="方正书宋_GBK" w:hAnsi="方正书宋_GBK" w:eastAsia="方正书宋_GBK" w:cs="方正书宋_GBK"/>
          <w:sz w:val="22"/>
          <w:szCs w:val="22"/>
        </w:rPr>
        <w:tab/>
      </w:r>
      <w:r>
        <w:rPr>
          <w:rFonts w:hint="eastAsia" w:ascii="方正书宋_GBK" w:hAnsi="方正书宋_GBK" w:eastAsia="方正书宋_GBK" w:cs="方正书宋_GBK"/>
          <w:spacing w:val="-1"/>
          <w:w w:val="95"/>
          <w:sz w:val="22"/>
          <w:szCs w:val="22"/>
        </w:rPr>
        <w:t>所</w:t>
      </w:r>
      <w:r>
        <w:rPr>
          <w:rFonts w:hint="eastAsia" w:ascii="方正书宋_GBK" w:hAnsi="方正书宋_GBK" w:eastAsia="方正书宋_GBK" w:cs="方正书宋_GBK"/>
          <w:w w:val="95"/>
          <w:sz w:val="22"/>
          <w:szCs w:val="22"/>
        </w:rPr>
        <w:t>：</w:t>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sz w:val="22"/>
          <w:szCs w:val="22"/>
          <w:u w:val="single"/>
        </w:rPr>
        <w:tab/>
      </w:r>
    </w:p>
    <w:p>
      <w:pPr>
        <w:pStyle w:val="3"/>
        <w:keepNext w:val="0"/>
        <w:keepLines w:val="0"/>
        <w:pageBreakBefore w:val="0"/>
        <w:widowControl w:val="0"/>
        <w:tabs>
          <w:tab w:val="left" w:pos="751"/>
          <w:tab w:val="left" w:pos="5151"/>
        </w:tabs>
        <w:kinsoku/>
        <w:wordWrap/>
        <w:overflowPunct/>
        <w:topLinePunct w:val="0"/>
        <w:autoSpaceDE w:val="0"/>
        <w:autoSpaceDN w:val="0"/>
        <w:bidi w:val="0"/>
        <w:adjustRightInd/>
        <w:snapToGrid/>
        <w:spacing w:line="420" w:lineRule="exact"/>
        <w:ind w:left="11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邮</w:t>
      </w:r>
      <w:r>
        <w:rPr>
          <w:rFonts w:hint="eastAsia" w:ascii="方正书宋_GBK" w:hAnsi="方正书宋_GBK" w:eastAsia="方正书宋_GBK" w:cs="方正书宋_GBK"/>
          <w:sz w:val="22"/>
          <w:szCs w:val="22"/>
        </w:rPr>
        <w:tab/>
      </w:r>
      <w:r>
        <w:rPr>
          <w:rFonts w:hint="eastAsia" w:ascii="方正书宋_GBK" w:hAnsi="方正书宋_GBK" w:eastAsia="方正书宋_GBK" w:cs="方正书宋_GBK"/>
          <w:spacing w:val="-1"/>
          <w:w w:val="95"/>
          <w:sz w:val="22"/>
          <w:szCs w:val="22"/>
        </w:rPr>
        <w:t>编</w:t>
      </w:r>
      <w:r>
        <w:rPr>
          <w:rFonts w:hint="eastAsia" w:ascii="方正书宋_GBK" w:hAnsi="方正书宋_GBK" w:eastAsia="方正书宋_GBK" w:cs="方正书宋_GBK"/>
          <w:w w:val="95"/>
          <w:sz w:val="22"/>
          <w:szCs w:val="22"/>
        </w:rPr>
        <w:t>：</w:t>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sz w:val="22"/>
          <w:szCs w:val="22"/>
          <w:u w:val="single"/>
        </w:rPr>
        <w:tab/>
      </w:r>
    </w:p>
    <w:p>
      <w:pPr>
        <w:pStyle w:val="3"/>
        <w:keepNext w:val="0"/>
        <w:keepLines w:val="0"/>
        <w:pageBreakBefore w:val="0"/>
        <w:widowControl w:val="0"/>
        <w:tabs>
          <w:tab w:val="left" w:pos="7229"/>
        </w:tabs>
        <w:kinsoku/>
        <w:wordWrap/>
        <w:overflowPunct/>
        <w:topLinePunct w:val="0"/>
        <w:autoSpaceDE w:val="0"/>
        <w:autoSpaceDN w:val="0"/>
        <w:bidi w:val="0"/>
        <w:adjustRightInd/>
        <w:snapToGrid/>
        <w:spacing w:line="420" w:lineRule="exact"/>
        <w:ind w:left="11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w w:val="95"/>
          <w:sz w:val="22"/>
          <w:szCs w:val="22"/>
        </w:rPr>
        <w:t>统一社会信用代码：</w:t>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sz w:val="22"/>
          <w:szCs w:val="22"/>
          <w:u w:val="single"/>
        </w:rPr>
        <w:tab/>
      </w:r>
    </w:p>
    <w:p>
      <w:pPr>
        <w:pStyle w:val="3"/>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tabs>
          <w:tab w:val="left" w:pos="4671"/>
          <w:tab w:val="left" w:pos="7229"/>
        </w:tabs>
        <w:kinsoku/>
        <w:wordWrap/>
        <w:overflowPunct/>
        <w:topLinePunct w:val="0"/>
        <w:autoSpaceDE w:val="0"/>
        <w:autoSpaceDN w:val="0"/>
        <w:bidi w:val="0"/>
        <w:adjustRightInd/>
        <w:snapToGrid/>
        <w:spacing w:line="420" w:lineRule="exact"/>
        <w:ind w:left="111" w:right="215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w w:val="99"/>
          <w:sz w:val="22"/>
          <w:szCs w:val="22"/>
        </w:rPr>
        <w:t>乙</w:t>
      </w:r>
      <w:r>
        <w:rPr>
          <w:rFonts w:hint="eastAsia" w:ascii="方正书宋_GBK" w:hAnsi="方正书宋_GBK" w:eastAsia="方正书宋_GBK" w:cs="方正书宋_GBK"/>
          <w:spacing w:val="2"/>
          <w:w w:val="99"/>
          <w:sz w:val="22"/>
          <w:szCs w:val="22"/>
        </w:rPr>
        <w:t>方</w:t>
      </w:r>
      <w:r>
        <w:rPr>
          <w:rFonts w:hint="eastAsia" w:ascii="方正书宋_GBK" w:hAnsi="方正书宋_GBK" w:eastAsia="方正书宋_GBK" w:cs="方正书宋_GBK"/>
          <w:w w:val="99"/>
          <w:sz w:val="22"/>
          <w:szCs w:val="22"/>
        </w:rPr>
        <w:t>（物</w:t>
      </w:r>
      <w:r>
        <w:rPr>
          <w:rFonts w:hint="eastAsia" w:ascii="方正书宋_GBK" w:hAnsi="方正书宋_GBK" w:eastAsia="方正书宋_GBK" w:cs="方正书宋_GBK"/>
          <w:spacing w:val="2"/>
          <w:w w:val="99"/>
          <w:sz w:val="22"/>
          <w:szCs w:val="22"/>
        </w:rPr>
        <w:t>业</w:t>
      </w:r>
      <w:r>
        <w:rPr>
          <w:rFonts w:hint="eastAsia" w:ascii="方正书宋_GBK" w:hAnsi="方正书宋_GBK" w:eastAsia="方正书宋_GBK" w:cs="方正书宋_GBK"/>
          <w:w w:val="99"/>
          <w:sz w:val="22"/>
          <w:szCs w:val="22"/>
        </w:rPr>
        <w:t>管理人</w:t>
      </w:r>
      <w:r>
        <w:rPr>
          <w:rFonts w:hint="eastAsia" w:ascii="方正书宋_GBK" w:hAnsi="方正书宋_GBK" w:eastAsia="方正书宋_GBK" w:cs="方正书宋_GBK"/>
          <w:spacing w:val="-159"/>
          <w:w w:val="99"/>
          <w:sz w:val="22"/>
          <w:szCs w:val="22"/>
        </w:rPr>
        <w:t>）</w:t>
      </w:r>
      <w:r>
        <w:rPr>
          <w:rFonts w:hint="eastAsia" w:ascii="方正书宋_GBK" w:hAnsi="方正书宋_GBK" w:eastAsia="方正书宋_GBK" w:cs="方正书宋_GBK"/>
          <w:w w:val="99"/>
          <w:sz w:val="22"/>
          <w:szCs w:val="22"/>
        </w:rPr>
        <w:t>：</w:t>
      </w:r>
      <w:r>
        <w:rPr>
          <w:rFonts w:hint="eastAsia" w:ascii="方正书宋_GBK" w:hAnsi="方正书宋_GBK" w:eastAsia="方正书宋_GBK" w:cs="方正书宋_GBK"/>
          <w:w w:val="99"/>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w w:val="95"/>
          <w:sz w:val="22"/>
          <w:szCs w:val="22"/>
        </w:rPr>
        <w:t>法定代表人：</w:t>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sz w:val="22"/>
          <w:szCs w:val="22"/>
          <w:u w:val="single"/>
        </w:rPr>
        <w:tab/>
      </w:r>
    </w:p>
    <w:p>
      <w:pPr>
        <w:pStyle w:val="3"/>
        <w:keepNext w:val="0"/>
        <w:keepLines w:val="0"/>
        <w:pageBreakBefore w:val="0"/>
        <w:widowControl w:val="0"/>
        <w:tabs>
          <w:tab w:val="left" w:pos="751"/>
          <w:tab w:val="left" w:pos="5151"/>
          <w:tab w:val="left" w:pos="6111"/>
        </w:tabs>
        <w:kinsoku/>
        <w:wordWrap/>
        <w:overflowPunct/>
        <w:topLinePunct w:val="0"/>
        <w:autoSpaceDE w:val="0"/>
        <w:autoSpaceDN w:val="0"/>
        <w:bidi w:val="0"/>
        <w:adjustRightInd/>
        <w:snapToGrid/>
        <w:spacing w:line="420" w:lineRule="exact"/>
        <w:ind w:left="111" w:right="3272"/>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w w:val="99"/>
          <w:sz w:val="22"/>
          <w:szCs w:val="22"/>
        </w:rPr>
        <w:t>授</w:t>
      </w:r>
      <w:r>
        <w:rPr>
          <w:rFonts w:hint="eastAsia" w:ascii="方正书宋_GBK" w:hAnsi="方正书宋_GBK" w:eastAsia="方正书宋_GBK" w:cs="方正书宋_GBK"/>
          <w:spacing w:val="2"/>
          <w:w w:val="99"/>
          <w:sz w:val="22"/>
          <w:szCs w:val="22"/>
        </w:rPr>
        <w:t>权</w:t>
      </w:r>
      <w:r>
        <w:rPr>
          <w:rFonts w:hint="eastAsia" w:ascii="方正书宋_GBK" w:hAnsi="方正书宋_GBK" w:eastAsia="方正书宋_GBK" w:cs="方正书宋_GBK"/>
          <w:w w:val="99"/>
          <w:sz w:val="22"/>
          <w:szCs w:val="22"/>
        </w:rPr>
        <w:t>委托</w:t>
      </w:r>
      <w:r>
        <w:rPr>
          <w:rFonts w:hint="eastAsia" w:ascii="方正书宋_GBK" w:hAnsi="方正书宋_GBK" w:eastAsia="方正书宋_GBK" w:cs="方正书宋_GBK"/>
          <w:spacing w:val="2"/>
          <w:w w:val="99"/>
          <w:sz w:val="22"/>
          <w:szCs w:val="22"/>
        </w:rPr>
        <w:t>人</w:t>
      </w:r>
      <w:r>
        <w:rPr>
          <w:rFonts w:hint="eastAsia" w:ascii="方正书宋_GBK" w:hAnsi="方正书宋_GBK" w:eastAsia="方正书宋_GBK" w:cs="方正书宋_GBK"/>
          <w:w w:val="99"/>
          <w:sz w:val="22"/>
          <w:szCs w:val="22"/>
        </w:rPr>
        <w:t>（代</w:t>
      </w:r>
      <w:r>
        <w:rPr>
          <w:rFonts w:hint="eastAsia" w:ascii="方正书宋_GBK" w:hAnsi="方正书宋_GBK" w:eastAsia="方正书宋_GBK" w:cs="方正书宋_GBK"/>
          <w:spacing w:val="2"/>
          <w:w w:val="99"/>
          <w:sz w:val="22"/>
          <w:szCs w:val="22"/>
        </w:rPr>
        <w:t>理</w:t>
      </w:r>
      <w:r>
        <w:rPr>
          <w:rFonts w:hint="eastAsia" w:ascii="方正书宋_GBK" w:hAnsi="方正书宋_GBK" w:eastAsia="方正书宋_GBK" w:cs="方正书宋_GBK"/>
          <w:w w:val="99"/>
          <w:sz w:val="22"/>
          <w:szCs w:val="22"/>
        </w:rPr>
        <w:t>人</w:t>
      </w:r>
      <w:r>
        <w:rPr>
          <w:rFonts w:hint="eastAsia" w:ascii="方正书宋_GBK" w:hAnsi="方正书宋_GBK" w:eastAsia="方正书宋_GBK" w:cs="方正书宋_GBK"/>
          <w:spacing w:val="-159"/>
          <w:w w:val="99"/>
          <w:sz w:val="22"/>
          <w:szCs w:val="22"/>
        </w:rPr>
        <w:t>）</w:t>
      </w:r>
      <w:r>
        <w:rPr>
          <w:rFonts w:hint="eastAsia" w:ascii="方正书宋_GBK" w:hAnsi="方正书宋_GBK" w:eastAsia="方正书宋_GBK" w:cs="方正书宋_GBK"/>
          <w:w w:val="99"/>
          <w:sz w:val="22"/>
          <w:szCs w:val="22"/>
        </w:rPr>
        <w:t>：</w:t>
      </w:r>
      <w:r>
        <w:rPr>
          <w:rFonts w:hint="eastAsia" w:ascii="方正书宋_GBK" w:hAnsi="方正书宋_GBK" w:eastAsia="方正书宋_GBK" w:cs="方正书宋_GBK"/>
          <w:w w:val="99"/>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住</w:t>
      </w:r>
      <w:r>
        <w:rPr>
          <w:rFonts w:hint="eastAsia" w:ascii="方正书宋_GBK" w:hAnsi="方正书宋_GBK" w:eastAsia="方正书宋_GBK" w:cs="方正书宋_GBK"/>
          <w:sz w:val="22"/>
          <w:szCs w:val="22"/>
        </w:rPr>
        <w:tab/>
      </w:r>
      <w:r>
        <w:rPr>
          <w:rFonts w:hint="eastAsia" w:ascii="方正书宋_GBK" w:hAnsi="方正书宋_GBK" w:eastAsia="方正书宋_GBK" w:cs="方正书宋_GBK"/>
          <w:spacing w:val="-1"/>
          <w:w w:val="95"/>
          <w:sz w:val="22"/>
          <w:szCs w:val="22"/>
        </w:rPr>
        <w:t>所</w:t>
      </w:r>
      <w:r>
        <w:rPr>
          <w:rFonts w:hint="eastAsia" w:ascii="方正书宋_GBK" w:hAnsi="方正书宋_GBK" w:eastAsia="方正书宋_GBK" w:cs="方正书宋_GBK"/>
          <w:w w:val="95"/>
          <w:sz w:val="22"/>
          <w:szCs w:val="22"/>
        </w:rPr>
        <w:t>：</w:t>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sz w:val="22"/>
          <w:szCs w:val="22"/>
          <w:u w:val="single"/>
        </w:rPr>
        <w:tab/>
      </w:r>
    </w:p>
    <w:p>
      <w:pPr>
        <w:pStyle w:val="3"/>
        <w:keepNext w:val="0"/>
        <w:keepLines w:val="0"/>
        <w:pageBreakBefore w:val="0"/>
        <w:widowControl w:val="0"/>
        <w:tabs>
          <w:tab w:val="left" w:pos="751"/>
          <w:tab w:val="left" w:pos="5151"/>
        </w:tabs>
        <w:kinsoku/>
        <w:wordWrap/>
        <w:overflowPunct/>
        <w:topLinePunct w:val="0"/>
        <w:autoSpaceDE w:val="0"/>
        <w:autoSpaceDN w:val="0"/>
        <w:bidi w:val="0"/>
        <w:adjustRightInd/>
        <w:snapToGrid/>
        <w:spacing w:line="420" w:lineRule="exact"/>
        <w:ind w:left="11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邮</w:t>
      </w:r>
      <w:r>
        <w:rPr>
          <w:rFonts w:hint="eastAsia" w:ascii="方正书宋_GBK" w:hAnsi="方正书宋_GBK" w:eastAsia="方正书宋_GBK" w:cs="方正书宋_GBK"/>
          <w:sz w:val="22"/>
          <w:szCs w:val="22"/>
        </w:rPr>
        <w:tab/>
      </w:r>
      <w:r>
        <w:rPr>
          <w:rFonts w:hint="eastAsia" w:ascii="方正书宋_GBK" w:hAnsi="方正书宋_GBK" w:eastAsia="方正书宋_GBK" w:cs="方正书宋_GBK"/>
          <w:spacing w:val="-1"/>
          <w:w w:val="95"/>
          <w:sz w:val="22"/>
          <w:szCs w:val="22"/>
        </w:rPr>
        <w:t>编</w:t>
      </w:r>
      <w:r>
        <w:rPr>
          <w:rFonts w:hint="eastAsia" w:ascii="方正书宋_GBK" w:hAnsi="方正书宋_GBK" w:eastAsia="方正书宋_GBK" w:cs="方正书宋_GBK"/>
          <w:w w:val="95"/>
          <w:sz w:val="22"/>
          <w:szCs w:val="22"/>
        </w:rPr>
        <w:t>：</w:t>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sz w:val="22"/>
          <w:szCs w:val="22"/>
          <w:u w:val="single"/>
        </w:rPr>
        <w:tab/>
      </w:r>
    </w:p>
    <w:p>
      <w:pPr>
        <w:pStyle w:val="3"/>
        <w:keepNext w:val="0"/>
        <w:keepLines w:val="0"/>
        <w:pageBreakBefore w:val="0"/>
        <w:widowControl w:val="0"/>
        <w:tabs>
          <w:tab w:val="left" w:pos="7229"/>
        </w:tabs>
        <w:kinsoku/>
        <w:wordWrap/>
        <w:overflowPunct/>
        <w:topLinePunct w:val="0"/>
        <w:autoSpaceDE w:val="0"/>
        <w:autoSpaceDN w:val="0"/>
        <w:bidi w:val="0"/>
        <w:adjustRightInd/>
        <w:snapToGrid/>
        <w:spacing w:line="420" w:lineRule="exact"/>
        <w:ind w:left="11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w w:val="95"/>
          <w:sz w:val="22"/>
          <w:szCs w:val="22"/>
        </w:rPr>
        <w:t>统一社会信用代码：</w:t>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sz w:val="22"/>
          <w:szCs w:val="22"/>
          <w:u w:val="single"/>
        </w:rPr>
        <w:tab/>
      </w:r>
    </w:p>
    <w:p>
      <w:pPr>
        <w:pStyle w:val="3"/>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tabs>
          <w:tab w:val="left" w:pos="9034"/>
        </w:tabs>
        <w:kinsoku/>
        <w:wordWrap/>
        <w:overflowPunct/>
        <w:topLinePunct w:val="0"/>
        <w:autoSpaceDE w:val="0"/>
        <w:autoSpaceDN w:val="0"/>
        <w:bidi w:val="0"/>
        <w:adjustRightInd/>
        <w:snapToGrid/>
        <w:spacing w:line="420" w:lineRule="exact"/>
        <w:ind w:left="111" w:right="349" w:firstLine="64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根</w:t>
      </w:r>
      <w:r>
        <w:rPr>
          <w:rFonts w:hint="eastAsia" w:ascii="方正书宋_GBK" w:hAnsi="方正书宋_GBK" w:eastAsia="方正书宋_GBK" w:cs="方正书宋_GBK"/>
          <w:spacing w:val="-39"/>
          <w:sz w:val="22"/>
          <w:szCs w:val="22"/>
        </w:rPr>
        <w:t>据</w:t>
      </w:r>
      <w:r>
        <w:rPr>
          <w:rFonts w:hint="eastAsia" w:ascii="方正书宋_GBK" w:hAnsi="方正书宋_GBK" w:eastAsia="方正书宋_GBK" w:cs="方正书宋_GBK"/>
          <w:sz w:val="22"/>
          <w:szCs w:val="22"/>
        </w:rPr>
        <w:t>《中华人民共和国合同法</w:t>
      </w:r>
      <w:r>
        <w:rPr>
          <w:rFonts w:hint="eastAsia" w:ascii="方正书宋_GBK" w:hAnsi="方正书宋_GBK" w:eastAsia="方正书宋_GBK" w:cs="方正书宋_GBK"/>
          <w:spacing w:val="-199"/>
          <w:sz w:val="22"/>
          <w:szCs w:val="22"/>
        </w:rPr>
        <w:t>》、</w:t>
      </w:r>
      <w:r>
        <w:rPr>
          <w:rFonts w:hint="eastAsia" w:ascii="方正书宋_GBK" w:hAnsi="方正书宋_GBK" w:eastAsia="方正书宋_GBK" w:cs="方正书宋_GBK"/>
          <w:spacing w:val="-12"/>
          <w:sz w:val="22"/>
          <w:szCs w:val="22"/>
        </w:rPr>
        <w:t>《中华人民共和国物权法》、</w:t>
      </w:r>
      <w:r>
        <w:rPr>
          <w:rFonts w:hint="eastAsia" w:ascii="方正书宋_GBK" w:hAnsi="方正书宋_GBK" w:eastAsia="方正书宋_GBK" w:cs="方正书宋_GBK"/>
          <w:sz w:val="22"/>
          <w:szCs w:val="22"/>
        </w:rPr>
        <w:t>《新疆维吾尔自治区物业管理条例</w:t>
      </w:r>
      <w:r>
        <w:rPr>
          <w:rFonts w:hint="eastAsia" w:ascii="方正书宋_GBK" w:hAnsi="方正书宋_GBK" w:eastAsia="方正书宋_GBK" w:cs="方正书宋_GBK"/>
          <w:spacing w:val="-197"/>
          <w:sz w:val="22"/>
          <w:szCs w:val="22"/>
        </w:rPr>
        <w:t>》、</w:t>
      </w:r>
      <w:r>
        <w:rPr>
          <w:rFonts w:hint="eastAsia" w:ascii="方正书宋_GBK" w:hAnsi="方正书宋_GBK" w:eastAsia="方正书宋_GBK" w:cs="方正书宋_GBK"/>
          <w:sz w:val="22"/>
          <w:szCs w:val="22"/>
        </w:rPr>
        <w:t>《新疆维吾尔自治区物业服务收费管理办法</w:t>
      </w:r>
      <w:r>
        <w:rPr>
          <w:rFonts w:hint="eastAsia" w:ascii="方正书宋_GBK" w:hAnsi="方正书宋_GBK" w:eastAsia="方正书宋_GBK" w:cs="方正书宋_GBK"/>
          <w:spacing w:val="-29"/>
          <w:sz w:val="22"/>
          <w:szCs w:val="22"/>
        </w:rPr>
        <w:t>》</w:t>
      </w:r>
      <w:r>
        <w:rPr>
          <w:rFonts w:hint="eastAsia" w:ascii="方正书宋_GBK" w:hAnsi="方正书宋_GBK" w:eastAsia="方正书宋_GBK" w:cs="方正书宋_GBK"/>
          <w:sz w:val="22"/>
          <w:szCs w:val="22"/>
        </w:rPr>
        <w:t>等相关法律</w:t>
      </w:r>
      <w:r>
        <w:rPr>
          <w:rFonts w:hint="eastAsia" w:ascii="方正书宋_GBK" w:hAnsi="方正书宋_GBK" w:eastAsia="方正书宋_GBK" w:cs="方正书宋_GBK"/>
          <w:spacing w:val="-29"/>
          <w:sz w:val="22"/>
          <w:szCs w:val="22"/>
        </w:rPr>
        <w:t>、</w:t>
      </w:r>
      <w:r>
        <w:rPr>
          <w:rFonts w:hint="eastAsia" w:ascii="方正书宋_GBK" w:hAnsi="方正书宋_GBK" w:eastAsia="方正书宋_GBK" w:cs="方正书宋_GBK"/>
          <w:sz w:val="22"/>
          <w:szCs w:val="22"/>
        </w:rPr>
        <w:t>法规</w:t>
      </w:r>
      <w:r>
        <w:rPr>
          <w:rFonts w:hint="eastAsia" w:ascii="方正书宋_GBK" w:hAnsi="方正书宋_GBK" w:eastAsia="方正书宋_GBK" w:cs="方正书宋_GBK"/>
          <w:spacing w:val="-29"/>
          <w:sz w:val="22"/>
          <w:szCs w:val="22"/>
        </w:rPr>
        <w:t>、</w:t>
      </w:r>
      <w:r>
        <w:rPr>
          <w:rFonts w:hint="eastAsia" w:ascii="方正书宋_GBK" w:hAnsi="方正书宋_GBK" w:eastAsia="方正书宋_GBK" w:cs="方正书宋_GBK"/>
          <w:sz w:val="22"/>
          <w:szCs w:val="22"/>
        </w:rPr>
        <w:t>规章和文件规定</w:t>
      </w:r>
      <w:r>
        <w:rPr>
          <w:rFonts w:hint="eastAsia" w:ascii="方正书宋_GBK" w:hAnsi="方正书宋_GBK" w:eastAsia="方正书宋_GBK" w:cs="方正书宋_GBK"/>
          <w:spacing w:val="-29"/>
          <w:sz w:val="22"/>
          <w:szCs w:val="22"/>
        </w:rPr>
        <w:t>，</w:t>
      </w:r>
      <w:r>
        <w:rPr>
          <w:rFonts w:hint="eastAsia" w:ascii="方正书宋_GBK" w:hAnsi="方正书宋_GBK" w:eastAsia="方正书宋_GBK" w:cs="方正书宋_GBK"/>
          <w:sz w:val="22"/>
          <w:szCs w:val="22"/>
        </w:rPr>
        <w:t>甲乙双</w:t>
      </w:r>
      <w:r>
        <w:rPr>
          <w:rFonts w:hint="eastAsia" w:ascii="方正书宋_GBK" w:hAnsi="方正书宋_GBK" w:eastAsia="方正书宋_GBK" w:cs="方正书宋_GBK"/>
          <w:w w:val="95"/>
          <w:sz w:val="22"/>
          <w:szCs w:val="22"/>
        </w:rPr>
        <w:t>方在平等、自愿、协商一致的基础上，就甲方选聘乙方对</w:t>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sz w:val="22"/>
          <w:szCs w:val="22"/>
          <w:u w:val="single"/>
        </w:rPr>
        <w:tab/>
      </w:r>
    </w:p>
    <w:p>
      <w:pPr>
        <w:pStyle w:val="3"/>
        <w:keepNext w:val="0"/>
        <w:keepLines w:val="0"/>
        <w:pageBreakBefore w:val="0"/>
        <w:widowControl w:val="0"/>
        <w:tabs>
          <w:tab w:val="left" w:pos="1299"/>
        </w:tabs>
        <w:kinsoku/>
        <w:wordWrap/>
        <w:overflowPunct/>
        <w:topLinePunct w:val="0"/>
        <w:autoSpaceDE w:val="0"/>
        <w:autoSpaceDN w:val="0"/>
        <w:bidi w:val="0"/>
        <w:adjustRightInd/>
        <w:snapToGrid/>
        <w:spacing w:line="420" w:lineRule="exact"/>
        <w:ind w:left="110"/>
        <w:textAlignment w:val="auto"/>
        <w:rPr>
          <w:rFonts w:hint="eastAsia" w:ascii="方正书宋_GBK" w:hAnsi="方正书宋_GBK" w:eastAsia="方正书宋_GBK" w:cs="方正书宋_GBK"/>
          <w:spacing w:val="-9"/>
          <w:sz w:val="22"/>
          <w:szCs w:val="22"/>
        </w:rPr>
      </w:pPr>
      <w:r>
        <w:rPr>
          <w:rFonts w:hint="eastAsia" w:ascii="方正书宋_GBK" w:hAnsi="方正书宋_GBK" w:eastAsia="方正书宋_GBK" w:cs="方正书宋_GBK"/>
          <w:w w:val="99"/>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rPr>
        <w:t>物业管理区域名称</w:t>
      </w:r>
      <w:r>
        <w:rPr>
          <w:rFonts w:hint="eastAsia" w:ascii="方正书宋_GBK" w:hAnsi="方正书宋_GBK" w:eastAsia="方正书宋_GBK" w:cs="方正书宋_GBK"/>
          <w:spacing w:val="-91"/>
          <w:sz w:val="22"/>
          <w:szCs w:val="22"/>
        </w:rPr>
        <w:t>）</w:t>
      </w:r>
      <w:r>
        <w:rPr>
          <w:rFonts w:hint="eastAsia" w:ascii="方正书宋_GBK" w:hAnsi="方正书宋_GBK" w:eastAsia="方正书宋_GBK" w:cs="方正书宋_GBK"/>
          <w:spacing w:val="-9"/>
          <w:sz w:val="22"/>
          <w:szCs w:val="22"/>
        </w:rPr>
        <w:t>提供前期物业服务事宜，订立本合同。</w:t>
      </w:r>
    </w:p>
    <w:p>
      <w:pPr>
        <w:pStyle w:val="3"/>
        <w:numPr>
          <w:numId w:val="0"/>
        </w:numPr>
        <w:tabs>
          <w:tab w:val="left" w:pos="1281"/>
        </w:tabs>
        <w:spacing w:line="520" w:lineRule="exact"/>
        <w:ind w:right="320" w:rightChars="0"/>
        <w:jc w:val="both"/>
        <w:rPr>
          <w:rFonts w:hint="eastAsia" w:ascii="黑体" w:eastAsia="黑体"/>
        </w:rPr>
      </w:pPr>
    </w:p>
    <w:p>
      <w:pPr>
        <w:pStyle w:val="3"/>
        <w:numPr>
          <w:numId w:val="0"/>
        </w:numPr>
        <w:tabs>
          <w:tab w:val="left" w:pos="1281"/>
        </w:tabs>
        <w:spacing w:line="520" w:lineRule="exact"/>
        <w:ind w:right="320" w:rightChars="0"/>
        <w:jc w:val="both"/>
        <w:rPr>
          <w:rFonts w:hint="eastAsia" w:ascii="黑体" w:eastAsia="黑体"/>
        </w:rPr>
      </w:pPr>
    </w:p>
    <w:p>
      <w:pPr>
        <w:pStyle w:val="3"/>
        <w:numPr>
          <w:numId w:val="0"/>
        </w:numPr>
        <w:tabs>
          <w:tab w:val="left" w:pos="1281"/>
        </w:tabs>
        <w:spacing w:line="520" w:lineRule="exact"/>
        <w:ind w:right="320" w:rightChars="0"/>
        <w:jc w:val="both"/>
        <w:rPr>
          <w:rFonts w:hint="eastAsia" w:ascii="黑体" w:eastAsia="黑体"/>
        </w:rPr>
      </w:pPr>
    </w:p>
    <w:p>
      <w:pPr>
        <w:pStyle w:val="3"/>
        <w:numPr>
          <w:numId w:val="0"/>
        </w:numPr>
        <w:tabs>
          <w:tab w:val="left" w:pos="1281"/>
        </w:tabs>
        <w:spacing w:line="520" w:lineRule="exact"/>
        <w:ind w:right="320" w:rightChars="0"/>
        <w:jc w:val="both"/>
        <w:rPr>
          <w:rFonts w:hint="eastAsia" w:ascii="黑体" w:eastAsia="黑体"/>
        </w:rPr>
      </w:pPr>
    </w:p>
    <w:p>
      <w:pPr>
        <w:pStyle w:val="3"/>
        <w:numPr>
          <w:numId w:val="0"/>
        </w:numPr>
        <w:tabs>
          <w:tab w:val="left" w:pos="1281"/>
        </w:tabs>
        <w:spacing w:line="520" w:lineRule="exact"/>
        <w:ind w:right="320" w:rightChars="0"/>
        <w:jc w:val="both"/>
        <w:rPr>
          <w:rFonts w:hint="eastAsia" w:ascii="黑体" w:eastAsia="黑体"/>
        </w:rPr>
      </w:pPr>
    </w:p>
    <w:p>
      <w:pPr>
        <w:pStyle w:val="3"/>
        <w:numPr>
          <w:numId w:val="0"/>
        </w:numPr>
        <w:tabs>
          <w:tab w:val="left" w:pos="1281"/>
        </w:tabs>
        <w:spacing w:line="520" w:lineRule="exact"/>
        <w:ind w:right="320" w:rightChars="0"/>
        <w:jc w:val="both"/>
        <w:rPr>
          <w:rFonts w:hint="eastAsia" w:ascii="黑体" w:eastAsia="黑体"/>
        </w:rPr>
      </w:pPr>
    </w:p>
    <w:p>
      <w:pPr>
        <w:pStyle w:val="3"/>
        <w:numPr>
          <w:numId w:val="0"/>
        </w:numPr>
        <w:tabs>
          <w:tab w:val="left" w:pos="1281"/>
        </w:tabs>
        <w:spacing w:line="520" w:lineRule="exact"/>
        <w:ind w:right="320" w:rightChars="0"/>
        <w:jc w:val="center"/>
        <w:rPr>
          <w:rFonts w:ascii="黑体" w:eastAsia="黑体"/>
        </w:rPr>
      </w:pPr>
      <w:r>
        <w:rPr>
          <w:rFonts w:hint="eastAsia" w:ascii="方正黑体_GBK" w:hAnsi="方正黑体_GBK" w:eastAsia="方正黑体_GBK" w:cs="方正黑体_GBK"/>
          <w:sz w:val="28"/>
          <w:szCs w:val="28"/>
          <w:lang w:eastAsia="zh-CN"/>
        </w:rPr>
        <w:t>第一章</w:t>
      </w:r>
      <w:r>
        <w:rPr>
          <w:rFonts w:hint="eastAsia" w:ascii="方正黑体_GBK" w:hAnsi="方正黑体_GBK" w:eastAsia="方正黑体_GBK" w:cs="方正黑体_GBK"/>
          <w:sz w:val="28"/>
          <w:szCs w:val="28"/>
          <w:lang w:val="en-US" w:eastAsia="zh-CN"/>
        </w:rPr>
        <w:t xml:space="preserve"> </w:t>
      </w:r>
      <w:r>
        <w:rPr>
          <w:rFonts w:hint="eastAsia" w:ascii="方正黑体_GBK" w:hAnsi="方正黑体_GBK" w:eastAsia="方正黑体_GBK" w:cs="方正黑体_GBK"/>
          <w:sz w:val="28"/>
          <w:szCs w:val="28"/>
        </w:rPr>
        <w:t>物业管理区域基本情况</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48"/>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第一条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物业管理区域基本情况</w:t>
      </w:r>
    </w:p>
    <w:p>
      <w:pPr>
        <w:pStyle w:val="3"/>
        <w:keepNext w:val="0"/>
        <w:keepLines w:val="0"/>
        <w:pageBreakBefore w:val="0"/>
        <w:widowControl w:val="0"/>
        <w:tabs>
          <w:tab w:val="left" w:pos="6910"/>
        </w:tabs>
        <w:kinsoku/>
        <w:wordWrap/>
        <w:overflowPunct/>
        <w:topLinePunct w:val="0"/>
        <w:autoSpaceDE w:val="0"/>
        <w:autoSpaceDN w:val="0"/>
        <w:bidi w:val="0"/>
        <w:adjustRightInd/>
        <w:snapToGrid/>
        <w:spacing w:line="420" w:lineRule="exact"/>
        <w:ind w:left="748" w:right="2473"/>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w w:val="95"/>
          <w:sz w:val="22"/>
          <w:szCs w:val="22"/>
        </w:rPr>
        <w:t>物业名称：</w:t>
      </w:r>
      <w:r>
        <w:rPr>
          <w:rFonts w:hint="eastAsia" w:ascii="方正书宋_GBK" w:hAnsi="方正书宋_GBK" w:eastAsia="方正书宋_GBK" w:cs="方正书宋_GBK"/>
          <w:w w:val="95"/>
          <w:sz w:val="22"/>
          <w:szCs w:val="22"/>
          <w:u w:val="single"/>
        </w:rPr>
        <w:tab/>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w w:val="95"/>
          <w:sz w:val="22"/>
          <w:szCs w:val="22"/>
        </w:rPr>
        <w:t>物业类型：</w:t>
      </w:r>
      <w:r>
        <w:rPr>
          <w:rFonts w:hint="eastAsia" w:ascii="方正书宋_GBK" w:hAnsi="方正书宋_GBK" w:eastAsia="方正书宋_GBK" w:cs="方正书宋_GBK"/>
          <w:w w:val="95"/>
          <w:sz w:val="22"/>
          <w:szCs w:val="22"/>
          <w:u w:val="single"/>
        </w:rPr>
        <w:tab/>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w w:val="95"/>
          <w:sz w:val="22"/>
          <w:szCs w:val="22"/>
        </w:rPr>
        <w:t>坐落位置：</w:t>
      </w:r>
      <w:r>
        <w:rPr>
          <w:rFonts w:hint="eastAsia" w:ascii="方正书宋_GBK" w:hAnsi="方正书宋_GBK" w:eastAsia="方正书宋_GBK" w:cs="方正书宋_GBK"/>
          <w:w w:val="95"/>
          <w:sz w:val="22"/>
          <w:szCs w:val="22"/>
          <w:u w:val="single"/>
        </w:rPr>
        <w:tab/>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w w:val="95"/>
          <w:sz w:val="22"/>
          <w:szCs w:val="22"/>
        </w:rPr>
        <w:t>占地面积：</w:t>
      </w:r>
      <w:r>
        <w:rPr>
          <w:rFonts w:hint="eastAsia" w:ascii="方正书宋_GBK" w:hAnsi="方正书宋_GBK" w:eastAsia="方正书宋_GBK" w:cs="方正书宋_GBK"/>
          <w:w w:val="95"/>
          <w:sz w:val="22"/>
          <w:szCs w:val="22"/>
          <w:u w:val="single"/>
        </w:rPr>
        <w:tab/>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w w:val="95"/>
          <w:sz w:val="22"/>
          <w:szCs w:val="22"/>
        </w:rPr>
        <w:t>总建筑面积：</w:t>
      </w:r>
      <w:r>
        <w:rPr>
          <w:rFonts w:hint="eastAsia" w:ascii="方正书宋_GBK" w:hAnsi="方正书宋_GBK" w:eastAsia="方正书宋_GBK" w:cs="方正书宋_GBK"/>
          <w:w w:val="95"/>
          <w:sz w:val="22"/>
          <w:szCs w:val="22"/>
          <w:u w:val="single"/>
        </w:rPr>
        <w:tab/>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w w:val="95"/>
          <w:sz w:val="22"/>
          <w:szCs w:val="22"/>
        </w:rPr>
        <w:t>总栋数：</w:t>
      </w:r>
      <w:r>
        <w:rPr>
          <w:rFonts w:hint="eastAsia" w:ascii="方正书宋_GBK" w:hAnsi="方正书宋_GBK" w:eastAsia="方正书宋_GBK" w:cs="方正书宋_GBK"/>
          <w:w w:val="95"/>
          <w:sz w:val="22"/>
          <w:szCs w:val="22"/>
          <w:u w:val="single"/>
        </w:rPr>
        <w:tab/>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w w:val="95"/>
          <w:sz w:val="22"/>
          <w:szCs w:val="22"/>
        </w:rPr>
        <w:t>总户数：</w:t>
      </w:r>
      <w:r>
        <w:rPr>
          <w:rFonts w:hint="eastAsia" w:ascii="方正书宋_GBK" w:hAnsi="方正书宋_GBK" w:eastAsia="方正书宋_GBK" w:cs="方正书宋_GBK"/>
          <w:w w:val="95"/>
          <w:sz w:val="22"/>
          <w:szCs w:val="22"/>
          <w:u w:val="single"/>
        </w:rPr>
        <w:tab/>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sz w:val="22"/>
          <w:szCs w:val="22"/>
        </w:rPr>
        <w:t>物业管理区域四至：</w:t>
      </w:r>
    </w:p>
    <w:p>
      <w:pPr>
        <w:pStyle w:val="3"/>
        <w:keepNext w:val="0"/>
        <w:keepLines w:val="0"/>
        <w:pageBreakBefore w:val="0"/>
        <w:widowControl w:val="0"/>
        <w:tabs>
          <w:tab w:val="left" w:pos="4750"/>
          <w:tab w:val="left" w:pos="8794"/>
        </w:tabs>
        <w:kinsoku/>
        <w:wordWrap/>
        <w:overflowPunct/>
        <w:topLinePunct w:val="0"/>
        <w:autoSpaceDE w:val="0"/>
        <w:autoSpaceDN w:val="0"/>
        <w:bidi w:val="0"/>
        <w:adjustRightInd/>
        <w:snapToGrid/>
        <w:spacing w:line="420" w:lineRule="exact"/>
        <w:ind w:left="748"/>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东至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pacing w:val="-115"/>
          <w:sz w:val="22"/>
          <w:szCs w:val="22"/>
        </w:rPr>
        <w:t>；</w:t>
      </w:r>
      <w:r>
        <w:rPr>
          <w:rFonts w:hint="eastAsia" w:ascii="方正书宋_GBK" w:hAnsi="方正书宋_GBK" w:eastAsia="方正书宋_GBK" w:cs="方正书宋_GBK"/>
          <w:sz w:val="22"/>
          <w:szCs w:val="22"/>
        </w:rPr>
        <w:t>南至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rPr>
        <w:t>；</w:t>
      </w:r>
    </w:p>
    <w:p>
      <w:pPr>
        <w:pStyle w:val="3"/>
        <w:keepNext w:val="0"/>
        <w:keepLines w:val="0"/>
        <w:pageBreakBefore w:val="0"/>
        <w:widowControl w:val="0"/>
        <w:tabs>
          <w:tab w:val="left" w:pos="4750"/>
          <w:tab w:val="left" w:pos="8794"/>
        </w:tabs>
        <w:kinsoku/>
        <w:wordWrap/>
        <w:overflowPunct/>
        <w:topLinePunct w:val="0"/>
        <w:autoSpaceDE w:val="0"/>
        <w:autoSpaceDN w:val="0"/>
        <w:bidi w:val="0"/>
        <w:adjustRightInd/>
        <w:snapToGrid/>
        <w:spacing w:line="420" w:lineRule="exact"/>
        <w:ind w:left="748"/>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西至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pacing w:val="-115"/>
          <w:sz w:val="22"/>
          <w:szCs w:val="22"/>
        </w:rPr>
        <w:t>；</w:t>
      </w:r>
      <w:r>
        <w:rPr>
          <w:rFonts w:hint="eastAsia" w:ascii="方正书宋_GBK" w:hAnsi="方正书宋_GBK" w:eastAsia="方正书宋_GBK" w:cs="方正书宋_GBK"/>
          <w:sz w:val="22"/>
          <w:szCs w:val="22"/>
        </w:rPr>
        <w:t>北至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48"/>
        <w:textAlignment w:val="auto"/>
        <w:rPr>
          <w:rFonts w:hint="eastAsia" w:ascii="方正书宋_GBK" w:hAnsi="方正书宋_GBK" w:eastAsia="方正书宋_GBK" w:cs="方正书宋_GBK"/>
          <w:w w:val="99"/>
          <w:sz w:val="22"/>
          <w:szCs w:val="22"/>
        </w:rPr>
      </w:pPr>
      <w:r>
        <w:rPr>
          <w:rFonts w:hint="eastAsia" w:ascii="方正书宋_GBK" w:hAnsi="方正书宋_GBK" w:eastAsia="方正书宋_GBK" w:cs="方正书宋_GBK"/>
          <w:w w:val="99"/>
          <w:sz w:val="22"/>
          <w:szCs w:val="22"/>
        </w:rPr>
        <w:t>（规划平面图见附件</w:t>
      </w:r>
      <w:r>
        <w:rPr>
          <w:rFonts w:hint="eastAsia" w:ascii="方正书宋_GBK" w:hAnsi="方正书宋_GBK" w:eastAsia="方正书宋_GBK" w:cs="方正书宋_GBK"/>
          <w:spacing w:val="-81"/>
          <w:sz w:val="22"/>
          <w:szCs w:val="22"/>
        </w:rPr>
        <w:t xml:space="preserve"> </w:t>
      </w:r>
      <w:r>
        <w:rPr>
          <w:rFonts w:hint="eastAsia" w:ascii="方正书宋_GBK" w:hAnsi="方正书宋_GBK" w:eastAsia="方正书宋_GBK" w:cs="方正书宋_GBK"/>
          <w:spacing w:val="1"/>
          <w:w w:val="99"/>
          <w:sz w:val="22"/>
          <w:szCs w:val="22"/>
        </w:rPr>
        <w:t>1</w:t>
      </w:r>
      <w:r>
        <w:rPr>
          <w:rFonts w:hint="eastAsia" w:ascii="方正书宋_GBK" w:hAnsi="方正书宋_GBK" w:eastAsia="方正书宋_GBK" w:cs="方正书宋_GBK"/>
          <w:w w:val="99"/>
          <w:sz w:val="22"/>
          <w:szCs w:val="22"/>
        </w:rPr>
        <w:t>；物业构成明细见附件</w:t>
      </w:r>
      <w:r>
        <w:rPr>
          <w:rFonts w:hint="eastAsia" w:ascii="方正书宋_GBK" w:hAnsi="方正书宋_GBK" w:eastAsia="方正书宋_GBK" w:cs="方正书宋_GBK"/>
          <w:spacing w:val="-81"/>
          <w:sz w:val="22"/>
          <w:szCs w:val="22"/>
        </w:rPr>
        <w:t xml:space="preserve"> </w:t>
      </w:r>
      <w:r>
        <w:rPr>
          <w:rFonts w:hint="eastAsia" w:ascii="方正书宋_GBK" w:hAnsi="方正书宋_GBK" w:eastAsia="方正书宋_GBK" w:cs="方正书宋_GBK"/>
          <w:spacing w:val="1"/>
          <w:w w:val="99"/>
          <w:sz w:val="22"/>
          <w:szCs w:val="22"/>
        </w:rPr>
        <w:t>2</w:t>
      </w:r>
      <w:r>
        <w:rPr>
          <w:rFonts w:hint="eastAsia" w:ascii="方正书宋_GBK" w:hAnsi="方正书宋_GBK" w:eastAsia="方正书宋_GBK" w:cs="方正书宋_GBK"/>
          <w:spacing w:val="-159"/>
          <w:w w:val="99"/>
          <w:sz w:val="22"/>
          <w:szCs w:val="22"/>
        </w:rPr>
        <w:t>）</w:t>
      </w:r>
      <w:r>
        <w:rPr>
          <w:rFonts w:hint="eastAsia" w:ascii="方正书宋_GBK" w:hAnsi="方正书宋_GBK" w:eastAsia="方正书宋_GBK" w:cs="方正书宋_GBK"/>
          <w:w w:val="99"/>
          <w:sz w:val="22"/>
          <w:szCs w:val="22"/>
        </w:rPr>
        <w:t>。</w:t>
      </w:r>
    </w:p>
    <w:p>
      <w:pPr>
        <w:pStyle w:val="3"/>
        <w:spacing w:line="520" w:lineRule="exact"/>
        <w:ind w:left="751"/>
        <w:rPr>
          <w:rFonts w:hint="eastAsia" w:ascii="方正书宋_GBK" w:hAnsi="方正书宋_GBK" w:eastAsia="方正书宋_GBK" w:cs="方正书宋_GBK"/>
          <w:sz w:val="22"/>
          <w:szCs w:val="22"/>
        </w:rPr>
      </w:pPr>
    </w:p>
    <w:p>
      <w:pPr>
        <w:pStyle w:val="3"/>
        <w:numPr>
          <w:ilvl w:val="0"/>
          <w:numId w:val="0"/>
        </w:numPr>
        <w:tabs>
          <w:tab w:val="left" w:pos="1281"/>
        </w:tabs>
        <w:spacing w:line="520" w:lineRule="exact"/>
        <w:ind w:right="320" w:rightChars="0"/>
        <w:jc w:val="center"/>
        <w:rPr>
          <w:rFonts w:ascii="黑体" w:eastAsia="黑体"/>
        </w:rPr>
      </w:pPr>
      <w:r>
        <w:rPr>
          <w:rFonts w:hint="eastAsia" w:ascii="方正黑体_GBK" w:hAnsi="方正黑体_GBK" w:eastAsia="方正黑体_GBK" w:cs="方正黑体_GBK"/>
          <w:sz w:val="28"/>
          <w:szCs w:val="28"/>
          <w:lang w:eastAsia="zh-CN"/>
        </w:rPr>
        <w:t>第二章</w:t>
      </w:r>
      <w:r>
        <w:rPr>
          <w:rFonts w:hint="eastAsia" w:ascii="方正黑体_GBK" w:hAnsi="方正黑体_GBK" w:eastAsia="方正黑体_GBK" w:cs="方正黑体_GBK"/>
          <w:sz w:val="28"/>
          <w:szCs w:val="28"/>
          <w:lang w:eastAsia="zh-CN"/>
        </w:rPr>
        <w:tab/>
      </w:r>
      <w:r>
        <w:rPr>
          <w:rFonts w:hint="eastAsia" w:ascii="方正黑体_GBK" w:hAnsi="方正黑体_GBK" w:eastAsia="方正黑体_GBK" w:cs="方正黑体_GBK"/>
          <w:sz w:val="28"/>
          <w:szCs w:val="28"/>
          <w:lang w:eastAsia="zh-CN"/>
        </w:rPr>
        <w:t>物业服务内容与质量</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在物业管理区域内</w:t>
      </w:r>
      <w:r>
        <w:rPr>
          <w:rFonts w:hint="eastAsia" w:ascii="方正书宋_GBK" w:hAnsi="方正书宋_GBK" w:eastAsia="方正书宋_GBK" w:cs="方正书宋_GBK"/>
          <w:spacing w:val="-115"/>
          <w:sz w:val="22"/>
          <w:szCs w:val="22"/>
        </w:rPr>
        <w:t>，</w:t>
      </w:r>
      <w:r>
        <w:rPr>
          <w:rFonts w:hint="eastAsia" w:ascii="方正书宋_GBK" w:hAnsi="方正书宋_GBK" w:eastAsia="方正书宋_GBK" w:cs="方正书宋_GBK"/>
          <w:sz w:val="22"/>
          <w:szCs w:val="22"/>
        </w:rPr>
        <w:t>乙方提供的前期物业服务包</w:t>
      </w:r>
      <w:r>
        <w:rPr>
          <w:rFonts w:hint="eastAsia" w:ascii="方正书宋_GBK" w:hAnsi="方正书宋_GBK" w:eastAsia="方正书宋_GBK" w:cs="方正书宋_GBK"/>
          <w:spacing w:val="-12"/>
          <w:sz w:val="22"/>
          <w:szCs w:val="22"/>
        </w:rPr>
        <w:t>括</w:t>
      </w:r>
      <w:r>
        <w:rPr>
          <w:rFonts w:hint="eastAsia" w:ascii="方正书宋_GBK" w:hAnsi="方正书宋_GBK" w:eastAsia="方正书宋_GBK" w:cs="方正书宋_GBK"/>
          <w:sz w:val="22"/>
          <w:szCs w:val="22"/>
        </w:rPr>
        <w:t>以下内容：</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w w:val="99"/>
          <w:sz w:val="22"/>
          <w:szCs w:val="22"/>
        </w:rPr>
      </w:pPr>
      <w:r>
        <w:rPr>
          <w:rFonts w:hint="eastAsia" w:ascii="方正书宋_GBK" w:hAnsi="方正书宋_GBK" w:eastAsia="方正书宋_GBK" w:cs="方正书宋_GBK"/>
          <w:spacing w:val="-14"/>
          <w:w w:val="99"/>
          <w:sz w:val="22"/>
          <w:szCs w:val="22"/>
          <w:lang w:val="en-US"/>
        </w:rPr>
        <w:t>1、</w:t>
      </w:r>
      <w:r>
        <w:rPr>
          <w:rFonts w:hint="eastAsia" w:ascii="方正书宋_GBK" w:hAnsi="方正书宋_GBK" w:eastAsia="方正书宋_GBK" w:cs="方正书宋_GBK"/>
          <w:spacing w:val="-14"/>
          <w:w w:val="99"/>
          <w:sz w:val="22"/>
          <w:szCs w:val="22"/>
        </w:rPr>
        <w:t>物业共用部位的维护和管理</w:t>
      </w:r>
      <w:r>
        <w:rPr>
          <w:rFonts w:hint="eastAsia" w:ascii="方正书宋_GBK" w:hAnsi="方正书宋_GBK" w:eastAsia="方正书宋_GBK" w:cs="方正书宋_GBK"/>
          <w:spacing w:val="2"/>
          <w:w w:val="99"/>
          <w:sz w:val="22"/>
          <w:szCs w:val="22"/>
        </w:rPr>
        <w:t>（</w:t>
      </w:r>
      <w:r>
        <w:rPr>
          <w:rFonts w:hint="eastAsia" w:ascii="方正书宋_GBK" w:hAnsi="方正书宋_GBK" w:eastAsia="方正书宋_GBK" w:cs="方正书宋_GBK"/>
          <w:spacing w:val="4"/>
          <w:w w:val="99"/>
          <w:sz w:val="22"/>
          <w:szCs w:val="22"/>
        </w:rPr>
        <w:t>物业共用部位明细见附件</w:t>
      </w:r>
      <w:r>
        <w:rPr>
          <w:rFonts w:hint="eastAsia" w:ascii="方正书宋_GBK" w:hAnsi="方正书宋_GBK" w:eastAsia="方正书宋_GBK" w:cs="方正书宋_GBK"/>
          <w:spacing w:val="-2"/>
          <w:w w:val="99"/>
          <w:sz w:val="22"/>
          <w:szCs w:val="22"/>
        </w:rPr>
        <w:t>3</w:t>
      </w:r>
      <w:r>
        <w:rPr>
          <w:rFonts w:hint="eastAsia" w:ascii="方正书宋_GBK" w:hAnsi="方正书宋_GBK" w:eastAsia="方正书宋_GBK" w:cs="方正书宋_GBK"/>
          <w:spacing w:val="-159"/>
          <w:w w:val="99"/>
          <w:sz w:val="22"/>
          <w:szCs w:val="22"/>
        </w:rPr>
        <w:t>）</w:t>
      </w:r>
      <w:r>
        <w:rPr>
          <w:rFonts w:hint="eastAsia" w:ascii="方正书宋_GBK" w:hAnsi="方正书宋_GBK" w:eastAsia="方正书宋_GBK" w:cs="方正书宋_GBK"/>
          <w:w w:val="99"/>
          <w:sz w:val="22"/>
          <w:szCs w:val="22"/>
        </w:rPr>
        <w:t>；</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w w:val="99"/>
          <w:sz w:val="22"/>
          <w:szCs w:val="22"/>
        </w:rPr>
      </w:pPr>
      <w:r>
        <w:rPr>
          <w:rFonts w:hint="eastAsia" w:ascii="方正书宋_GBK" w:hAnsi="方正书宋_GBK" w:eastAsia="方正书宋_GBK" w:cs="方正书宋_GBK"/>
          <w:spacing w:val="-9"/>
          <w:w w:val="95"/>
          <w:sz w:val="22"/>
          <w:szCs w:val="22"/>
          <w:lang w:val="en-US"/>
        </w:rPr>
        <w:t>2、</w:t>
      </w:r>
      <w:r>
        <w:rPr>
          <w:rFonts w:hint="eastAsia" w:ascii="方正书宋_GBK" w:hAnsi="方正书宋_GBK" w:eastAsia="方正书宋_GBK" w:cs="方正书宋_GBK"/>
          <w:spacing w:val="-9"/>
          <w:w w:val="95"/>
          <w:sz w:val="22"/>
          <w:szCs w:val="22"/>
        </w:rPr>
        <w:t>物业共用设施设备的运行、维护和管理</w:t>
      </w:r>
      <w:r>
        <w:rPr>
          <w:rFonts w:hint="eastAsia" w:ascii="方正书宋_GBK" w:hAnsi="方正书宋_GBK" w:eastAsia="方正书宋_GBK" w:cs="方正书宋_GBK"/>
          <w:w w:val="95"/>
          <w:sz w:val="22"/>
          <w:szCs w:val="22"/>
        </w:rPr>
        <w:t>（物业共用设施设</w:t>
      </w:r>
      <w:r>
        <w:rPr>
          <w:rFonts w:hint="eastAsia" w:ascii="方正书宋_GBK" w:hAnsi="方正书宋_GBK" w:eastAsia="方正书宋_GBK" w:cs="方正书宋_GBK"/>
          <w:w w:val="99"/>
          <w:sz w:val="22"/>
          <w:szCs w:val="22"/>
        </w:rPr>
        <w:t>备明细见附件</w:t>
      </w:r>
      <w:r>
        <w:rPr>
          <w:rFonts w:hint="eastAsia" w:ascii="方正书宋_GBK" w:hAnsi="方正书宋_GBK" w:eastAsia="方正书宋_GBK" w:cs="方正书宋_GBK"/>
          <w:spacing w:val="-81"/>
          <w:sz w:val="22"/>
          <w:szCs w:val="22"/>
        </w:rPr>
        <w:t xml:space="preserve"> </w:t>
      </w:r>
      <w:r>
        <w:rPr>
          <w:rFonts w:hint="eastAsia" w:ascii="方正书宋_GBK" w:hAnsi="方正书宋_GBK" w:eastAsia="方正书宋_GBK" w:cs="方正书宋_GBK"/>
          <w:spacing w:val="1"/>
          <w:w w:val="99"/>
          <w:sz w:val="22"/>
          <w:szCs w:val="22"/>
        </w:rPr>
        <w:t>4</w:t>
      </w:r>
      <w:r>
        <w:rPr>
          <w:rFonts w:hint="eastAsia" w:ascii="方正书宋_GBK" w:hAnsi="方正书宋_GBK" w:eastAsia="方正书宋_GBK" w:cs="方正书宋_GBK"/>
          <w:spacing w:val="-159"/>
          <w:w w:val="99"/>
          <w:sz w:val="22"/>
          <w:szCs w:val="22"/>
        </w:rPr>
        <w:t>）</w:t>
      </w:r>
      <w:r>
        <w:rPr>
          <w:rFonts w:hint="eastAsia" w:ascii="方正书宋_GBK" w:hAnsi="方正书宋_GBK" w:eastAsia="方正书宋_GBK" w:cs="方正书宋_GBK"/>
          <w:w w:val="99"/>
          <w:sz w:val="22"/>
          <w:szCs w:val="22"/>
        </w:rPr>
        <w:t>；</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3、</w:t>
      </w:r>
      <w:r>
        <w:rPr>
          <w:rFonts w:hint="eastAsia" w:ascii="方正书宋_GBK" w:hAnsi="方正书宋_GBK" w:eastAsia="方正书宋_GBK" w:cs="方正书宋_GBK"/>
          <w:sz w:val="22"/>
          <w:szCs w:val="22"/>
        </w:rPr>
        <w:t>公共区域环境卫生的维护；</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4、</w:t>
      </w:r>
      <w:r>
        <w:rPr>
          <w:rFonts w:hint="eastAsia" w:ascii="方正书宋_GBK" w:hAnsi="方正书宋_GBK" w:eastAsia="方正书宋_GBK" w:cs="方正书宋_GBK"/>
          <w:sz w:val="22"/>
          <w:szCs w:val="22"/>
        </w:rPr>
        <w:t>公共绿化的养护和管理；</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5、</w:t>
      </w:r>
      <w:r>
        <w:rPr>
          <w:rFonts w:hint="eastAsia" w:ascii="方正书宋_GBK" w:hAnsi="方正书宋_GBK" w:eastAsia="方正书宋_GBK" w:cs="方正书宋_GBK"/>
          <w:sz w:val="22"/>
          <w:szCs w:val="22"/>
        </w:rPr>
        <w:t>车辆停放管理服务；</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6、</w:t>
      </w:r>
      <w:r>
        <w:rPr>
          <w:rFonts w:hint="eastAsia" w:ascii="方正书宋_GBK" w:hAnsi="方正书宋_GBK" w:eastAsia="方正书宋_GBK" w:cs="方正书宋_GBK"/>
          <w:sz w:val="22"/>
          <w:szCs w:val="22"/>
        </w:rPr>
        <w:t>公共区域的秩序维护、安全防范等事项的协助管理服务；</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7、</w:t>
      </w:r>
      <w:r>
        <w:rPr>
          <w:rFonts w:hint="eastAsia" w:ascii="方正书宋_GBK" w:hAnsi="方正书宋_GBK" w:eastAsia="方正书宋_GBK" w:cs="方正书宋_GBK"/>
          <w:sz w:val="22"/>
          <w:szCs w:val="22"/>
        </w:rPr>
        <w:t>物业使用中对业主禁止行为的告知、劝阻、报告等；</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spacing w:val="-10"/>
          <w:sz w:val="22"/>
          <w:szCs w:val="22"/>
        </w:rPr>
      </w:pPr>
      <w:r>
        <w:rPr>
          <w:rFonts w:hint="eastAsia" w:ascii="方正书宋_GBK" w:hAnsi="方正书宋_GBK" w:eastAsia="方正书宋_GBK" w:cs="方正书宋_GBK"/>
          <w:sz w:val="22"/>
          <w:szCs w:val="22"/>
          <w:lang w:val="en-US"/>
        </w:rPr>
        <w:t>8、</w:t>
      </w:r>
      <w:r>
        <w:rPr>
          <w:rFonts w:hint="eastAsia" w:ascii="方正书宋_GBK" w:hAnsi="方正书宋_GBK" w:eastAsia="方正书宋_GBK" w:cs="方正书宋_GBK"/>
          <w:spacing w:val="-10"/>
          <w:w w:val="95"/>
          <w:sz w:val="22"/>
          <w:szCs w:val="22"/>
        </w:rPr>
        <w:t>物业共用部位、共用设施设备的维修、更新、改造的组织</w:t>
      </w:r>
      <w:r>
        <w:rPr>
          <w:rFonts w:hint="eastAsia" w:ascii="方正书宋_GBK" w:hAnsi="方正书宋_GBK" w:eastAsia="方正书宋_GBK" w:cs="方正书宋_GBK"/>
          <w:spacing w:val="-10"/>
          <w:sz w:val="22"/>
          <w:szCs w:val="22"/>
        </w:rPr>
        <w:t>及相关费用的账务管理服务；</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9、</w:t>
      </w:r>
      <w:r>
        <w:rPr>
          <w:rFonts w:hint="eastAsia" w:ascii="方正书宋_GBK" w:hAnsi="方正书宋_GBK" w:eastAsia="方正书宋_GBK" w:cs="方正书宋_GBK"/>
          <w:sz w:val="22"/>
          <w:szCs w:val="22"/>
        </w:rPr>
        <w:t>装饰装修管理服务；</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10、</w:t>
      </w:r>
      <w:r>
        <w:rPr>
          <w:rFonts w:hint="eastAsia" w:ascii="方正书宋_GBK" w:hAnsi="方正书宋_GBK" w:eastAsia="方正书宋_GBK" w:cs="方正书宋_GBK"/>
          <w:sz w:val="22"/>
          <w:szCs w:val="22"/>
        </w:rPr>
        <w:t>物业共用部位、共用设施设备的经营，收取、保管和使用收益资金;</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11、</w:t>
      </w:r>
      <w:r>
        <w:rPr>
          <w:rFonts w:hint="eastAsia" w:ascii="方正书宋_GBK" w:hAnsi="方正书宋_GBK" w:eastAsia="方正书宋_GBK" w:cs="方正书宋_GBK"/>
          <w:sz w:val="22"/>
          <w:szCs w:val="22"/>
        </w:rPr>
        <w:t>物业档案及物业服务档案保管；</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w w:val="99"/>
          <w:sz w:val="22"/>
          <w:szCs w:val="22"/>
          <w:lang w:val="en-US"/>
        </w:rPr>
        <w:t>12、</w:t>
      </w:r>
      <w:r>
        <w:rPr>
          <w:rFonts w:hint="eastAsia" w:ascii="方正书宋_GBK" w:hAnsi="方正书宋_GBK" w:eastAsia="方正书宋_GBK" w:cs="方正书宋_GBK"/>
          <w:w w:val="99"/>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 xml:space="preserve">    </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right="429"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37"/>
          <w:sz w:val="22"/>
          <w:szCs w:val="22"/>
        </w:rPr>
        <w:t>第三条</w:t>
      </w:r>
      <w:r>
        <w:rPr>
          <w:rFonts w:hint="eastAsia" w:ascii="方正书宋_GBK" w:hAnsi="方正书宋_GBK" w:eastAsia="方正书宋_GBK" w:cs="方正书宋_GBK"/>
          <w:spacing w:val="37"/>
          <w:sz w:val="22"/>
          <w:szCs w:val="22"/>
          <w:lang w:val="en-US"/>
        </w:rPr>
        <w:t xml:space="preserve">  </w:t>
      </w:r>
      <w:r>
        <w:rPr>
          <w:rFonts w:hint="eastAsia" w:ascii="方正书宋_GBK" w:hAnsi="方正书宋_GBK" w:eastAsia="方正书宋_GBK" w:cs="方正书宋_GBK"/>
          <w:spacing w:val="-11"/>
          <w:sz w:val="22"/>
          <w:szCs w:val="22"/>
        </w:rPr>
        <w:t>在物业管理区域内，乙方接受业主委托的其他特约</w:t>
      </w:r>
      <w:r>
        <w:rPr>
          <w:rFonts w:hint="eastAsia" w:ascii="方正书宋_GBK" w:hAnsi="方正书宋_GBK" w:eastAsia="方正书宋_GBK" w:cs="方正书宋_GBK"/>
          <w:spacing w:val="-13"/>
          <w:sz w:val="22"/>
          <w:szCs w:val="22"/>
        </w:rPr>
        <w:t>服务，或者单个业主委托乙方对其物业的专有部分提供维修养护等服务的，服务内容和费用由双方另行商定。</w:t>
      </w:r>
    </w:p>
    <w:p>
      <w:pPr>
        <w:pStyle w:val="3"/>
        <w:keepNext w:val="0"/>
        <w:keepLines w:val="0"/>
        <w:pageBreakBefore w:val="0"/>
        <w:widowControl w:val="0"/>
        <w:tabs>
          <w:tab w:val="left" w:pos="6991"/>
        </w:tabs>
        <w:kinsoku/>
        <w:wordWrap/>
        <w:overflowPunct/>
        <w:topLinePunct w:val="0"/>
        <w:autoSpaceDE w:val="0"/>
        <w:autoSpaceDN w:val="0"/>
        <w:bidi w:val="0"/>
        <w:adjustRightInd/>
        <w:snapToGrid/>
        <w:spacing w:line="420" w:lineRule="exact"/>
        <w:ind w:right="43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第四条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乙方提供的前期物业服务质量按第</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pacing w:val="25"/>
          <w:sz w:val="22"/>
          <w:szCs w:val="22"/>
          <w:u w:val="single"/>
        </w:rPr>
        <w:t xml:space="preserve"> </w:t>
      </w:r>
      <w:r>
        <w:rPr>
          <w:rFonts w:hint="eastAsia" w:ascii="方正书宋_GBK" w:hAnsi="方正书宋_GBK" w:eastAsia="方正书宋_GBK" w:cs="方正书宋_GBK"/>
          <w:sz w:val="22"/>
          <w:szCs w:val="22"/>
        </w:rPr>
        <w:t>种执行。</w:t>
      </w:r>
    </w:p>
    <w:p>
      <w:pPr>
        <w:pStyle w:val="3"/>
        <w:keepNext w:val="0"/>
        <w:keepLines w:val="0"/>
        <w:pageBreakBefore w:val="0"/>
        <w:widowControl w:val="0"/>
        <w:tabs>
          <w:tab w:val="left" w:pos="6991"/>
        </w:tabs>
        <w:kinsoku/>
        <w:wordWrap/>
        <w:overflowPunct/>
        <w:topLinePunct w:val="0"/>
        <w:autoSpaceDE w:val="0"/>
        <w:autoSpaceDN w:val="0"/>
        <w:bidi w:val="0"/>
        <w:adjustRightInd/>
        <w:snapToGrid/>
        <w:spacing w:line="420" w:lineRule="exact"/>
        <w:jc w:val="both"/>
        <w:textAlignment w:val="auto"/>
        <w:rPr>
          <w:rFonts w:hint="eastAsia" w:ascii="方正书宋_GBK" w:hAnsi="方正书宋_GBK" w:eastAsia="方正书宋_GBK" w:cs="方正书宋_GBK"/>
          <w:spacing w:val="167"/>
          <w:sz w:val="22"/>
          <w:szCs w:val="22"/>
          <w:u w:val="single"/>
          <w:lang w:val="en-US"/>
        </w:rPr>
      </w:pP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1、</w:t>
      </w:r>
      <w:r>
        <w:rPr>
          <w:rFonts w:hint="eastAsia" w:ascii="方正书宋_GBK" w:hAnsi="方正书宋_GBK" w:eastAsia="方正书宋_GBK" w:cs="方正书宋_GBK"/>
          <w:spacing w:val="7"/>
          <w:sz w:val="22"/>
          <w:szCs w:val="22"/>
        </w:rPr>
        <w:t>物业</w:t>
      </w:r>
      <w:r>
        <w:rPr>
          <w:rFonts w:hint="eastAsia" w:ascii="方正书宋_GBK" w:hAnsi="方正书宋_GBK" w:eastAsia="方正书宋_GBK" w:cs="方正书宋_GBK"/>
          <w:spacing w:val="5"/>
          <w:sz w:val="22"/>
          <w:szCs w:val="22"/>
        </w:rPr>
        <w:t>服</w:t>
      </w:r>
      <w:r>
        <w:rPr>
          <w:rFonts w:hint="eastAsia" w:ascii="方正书宋_GBK" w:hAnsi="方正书宋_GBK" w:eastAsia="方正书宋_GBK" w:cs="方正书宋_GBK"/>
          <w:spacing w:val="9"/>
          <w:sz w:val="22"/>
          <w:szCs w:val="22"/>
        </w:rPr>
        <w:t>务</w:t>
      </w:r>
      <w:r>
        <w:rPr>
          <w:rFonts w:hint="eastAsia" w:ascii="方正书宋_GBK" w:hAnsi="方正书宋_GBK" w:eastAsia="方正书宋_GBK" w:cs="方正书宋_GBK"/>
          <w:spacing w:val="7"/>
          <w:sz w:val="22"/>
          <w:szCs w:val="22"/>
        </w:rPr>
        <w:t>标</w:t>
      </w:r>
      <w:r>
        <w:rPr>
          <w:rFonts w:hint="eastAsia" w:ascii="方正书宋_GBK" w:hAnsi="方正书宋_GBK" w:eastAsia="方正书宋_GBK" w:cs="方正书宋_GBK"/>
          <w:spacing w:val="5"/>
          <w:sz w:val="22"/>
          <w:szCs w:val="22"/>
        </w:rPr>
        <w:t>准</w:t>
      </w:r>
      <w:r>
        <w:rPr>
          <w:rFonts w:hint="eastAsia" w:ascii="方正书宋_GBK" w:hAnsi="方正书宋_GBK" w:eastAsia="方正书宋_GBK" w:cs="方正书宋_GBK"/>
          <w:spacing w:val="7"/>
          <w:sz w:val="22"/>
          <w:szCs w:val="22"/>
        </w:rPr>
        <w:t>等级按</w:t>
      </w:r>
      <w:r>
        <w:rPr>
          <w:rFonts w:hint="eastAsia" w:ascii="方正书宋_GBK" w:hAnsi="方正书宋_GBK" w:eastAsia="方正书宋_GBK" w:cs="方正书宋_GBK"/>
          <w:spacing w:val="6"/>
          <w:sz w:val="22"/>
          <w:szCs w:val="22"/>
        </w:rPr>
        <w:t>照《住宅物业服务标准》</w:t>
      </w:r>
      <w:r>
        <w:rPr>
          <w:rFonts w:hint="eastAsia" w:ascii="方正书宋_GBK" w:hAnsi="方正书宋_GBK" w:eastAsia="方正书宋_GBK" w:cs="方正书宋_GBK"/>
          <w:spacing w:val="7"/>
          <w:sz w:val="22"/>
          <w:szCs w:val="22"/>
        </w:rPr>
        <w:t>规定的</w:t>
      </w:r>
      <w:r>
        <w:rPr>
          <w:rFonts w:hint="eastAsia" w:ascii="方正书宋_GBK" w:hAnsi="方正书宋_GBK" w:eastAsia="方正书宋_GBK" w:cs="方正书宋_GBK"/>
          <w:spacing w:val="167"/>
          <w:sz w:val="22"/>
          <w:szCs w:val="22"/>
          <w:u w:val="single"/>
        </w:rPr>
        <w:t xml:space="preserve"> </w:t>
      </w:r>
      <w:r>
        <w:rPr>
          <w:rFonts w:hint="eastAsia" w:ascii="方正书宋_GBK" w:hAnsi="方正书宋_GBK" w:eastAsia="方正书宋_GBK" w:cs="方正书宋_GBK"/>
          <w:spacing w:val="167"/>
          <w:sz w:val="22"/>
          <w:szCs w:val="22"/>
          <w:u w:val="single"/>
          <w:lang w:val="en-US"/>
        </w:rPr>
        <w:t xml:space="preserve"> </w:t>
      </w:r>
    </w:p>
    <w:p>
      <w:pPr>
        <w:pStyle w:val="3"/>
        <w:keepNext w:val="0"/>
        <w:keepLines w:val="0"/>
        <w:pageBreakBefore w:val="0"/>
        <w:widowControl w:val="0"/>
        <w:tabs>
          <w:tab w:val="left" w:pos="6991"/>
        </w:tabs>
        <w:kinsoku/>
        <w:wordWrap/>
        <w:overflowPunct/>
        <w:topLinePunct w:val="0"/>
        <w:autoSpaceDE w:val="0"/>
        <w:autoSpaceDN w:val="0"/>
        <w:bidi w:val="0"/>
        <w:adjustRightInd/>
        <w:snapToGrid/>
        <w:spacing w:line="420" w:lineRule="exact"/>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17"/>
          <w:sz w:val="22"/>
          <w:szCs w:val="22"/>
        </w:rPr>
        <w:t>级</w:t>
      </w:r>
      <w:r>
        <w:rPr>
          <w:rFonts w:hint="eastAsia" w:ascii="方正书宋_GBK" w:hAnsi="方正书宋_GBK" w:eastAsia="方正书宋_GBK" w:cs="方正书宋_GBK"/>
          <w:sz w:val="22"/>
          <w:szCs w:val="22"/>
        </w:rPr>
        <w:t>执行。</w:t>
      </w:r>
    </w:p>
    <w:p>
      <w:pPr>
        <w:pStyle w:val="3"/>
        <w:keepNext w:val="0"/>
        <w:keepLines w:val="0"/>
        <w:pageBreakBefore w:val="0"/>
        <w:widowControl w:val="0"/>
        <w:tabs>
          <w:tab w:val="left" w:pos="8911"/>
        </w:tabs>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2、</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（前期物业服务质量见附件 5）</w:t>
      </w:r>
    </w:p>
    <w:p>
      <w:pPr>
        <w:pStyle w:val="3"/>
        <w:spacing w:line="520" w:lineRule="exact"/>
        <w:ind w:left="751"/>
      </w:pPr>
    </w:p>
    <w:p>
      <w:pPr>
        <w:pStyle w:val="3"/>
        <w:numPr>
          <w:ilvl w:val="0"/>
          <w:numId w:val="0"/>
        </w:numPr>
        <w:tabs>
          <w:tab w:val="left" w:pos="1281"/>
        </w:tabs>
        <w:spacing w:line="520" w:lineRule="exact"/>
        <w:ind w:right="320" w:rightChars="0"/>
        <w:jc w:val="center"/>
        <w:rPr>
          <w:rFonts w:hint="eastAsia" w:ascii="黑体" w:hAnsi="黑体" w:eastAsia="黑体" w:cs="黑体"/>
          <w:spacing w:val="-15"/>
        </w:rPr>
      </w:pPr>
      <w:r>
        <w:rPr>
          <w:rFonts w:hint="eastAsia" w:ascii="方正黑体_GBK" w:hAnsi="方正黑体_GBK" w:eastAsia="方正黑体_GBK" w:cs="方正黑体_GBK"/>
          <w:sz w:val="28"/>
          <w:szCs w:val="28"/>
          <w:lang w:eastAsia="zh-CN"/>
        </w:rPr>
        <w:t>第三章</w:t>
      </w:r>
      <w:r>
        <w:rPr>
          <w:rFonts w:hint="eastAsia" w:ascii="方正黑体_GBK" w:hAnsi="方正黑体_GBK" w:eastAsia="方正黑体_GBK" w:cs="方正黑体_GBK"/>
          <w:sz w:val="28"/>
          <w:szCs w:val="28"/>
          <w:lang w:eastAsia="zh-CN"/>
        </w:rPr>
        <w:tab/>
      </w:r>
      <w:r>
        <w:rPr>
          <w:rFonts w:hint="eastAsia" w:ascii="方正黑体_GBK" w:hAnsi="方正黑体_GBK" w:eastAsia="方正黑体_GBK" w:cs="方正黑体_GBK"/>
          <w:sz w:val="28"/>
          <w:szCs w:val="28"/>
          <w:lang w:eastAsia="zh-CN"/>
        </w:rPr>
        <w:t>物业服务收费与经营</w:t>
      </w:r>
    </w:p>
    <w:p>
      <w:pPr>
        <w:pStyle w:val="3"/>
        <w:keepNext w:val="0"/>
        <w:keepLines w:val="0"/>
        <w:pageBreakBefore w:val="0"/>
        <w:widowControl w:val="0"/>
        <w:tabs>
          <w:tab w:val="left" w:pos="2031"/>
          <w:tab w:val="left" w:pos="3732"/>
        </w:tabs>
        <w:kinsoku/>
        <w:wordWrap/>
        <w:overflowPunct/>
        <w:topLinePunct w:val="0"/>
        <w:autoSpaceDE w:val="0"/>
        <w:autoSpaceDN w:val="0"/>
        <w:bidi w:val="0"/>
        <w:adjustRightInd/>
        <w:snapToGrid/>
        <w:spacing w:line="420" w:lineRule="exact"/>
        <w:ind w:right="2771"/>
        <w:jc w:val="both"/>
        <w:textAlignment w:val="auto"/>
        <w:rPr>
          <w:rFonts w:hint="eastAsia" w:ascii="方正书宋_GBK" w:hAnsi="方正书宋_GBK" w:eastAsia="方正书宋_GBK" w:cs="方正书宋_GBK"/>
          <w:sz w:val="22"/>
          <w:szCs w:val="22"/>
        </w:rPr>
      </w:pPr>
      <w:r>
        <w:rPr>
          <w:rFonts w:hint="eastAsia" w:ascii="黑体" w:hAnsi="黑体" w:eastAsia="黑体" w:cs="黑体"/>
          <w:spacing w:val="-15"/>
        </w:rPr>
        <w:t xml:space="preserve"> </w:t>
      </w:r>
      <w:r>
        <w:rPr>
          <w:rFonts w:hint="eastAsia" w:ascii="方正书宋_GBK" w:hAnsi="方正书宋_GBK" w:eastAsia="方正书宋_GBK" w:cs="方正书宋_GBK"/>
          <w:spacing w:val="-15"/>
          <w:sz w:val="22"/>
          <w:szCs w:val="22"/>
        </w:rPr>
        <w:t xml:space="preserve">    </w:t>
      </w:r>
      <w:r>
        <w:rPr>
          <w:rFonts w:hint="eastAsia" w:ascii="方正书宋_GBK" w:hAnsi="方正书宋_GBK" w:eastAsia="方正书宋_GBK" w:cs="方正书宋_GBK"/>
          <w:sz w:val="22"/>
          <w:szCs w:val="22"/>
        </w:rPr>
        <w:t>第五条</w:t>
      </w:r>
      <w:r>
        <w:rPr>
          <w:rFonts w:hint="eastAsia" w:ascii="方正书宋_GBK" w:hAnsi="方正书宋_GBK" w:eastAsia="方正书宋_GBK" w:cs="方正书宋_GBK"/>
          <w:sz w:val="22"/>
          <w:szCs w:val="22"/>
        </w:rPr>
        <w:tab/>
      </w:r>
      <w:r>
        <w:rPr>
          <w:rFonts w:hint="eastAsia" w:ascii="方正书宋_GBK" w:hAnsi="方正书宋_GBK" w:eastAsia="方正书宋_GBK" w:cs="方正书宋_GBK"/>
          <w:sz w:val="22"/>
          <w:szCs w:val="22"/>
        </w:rPr>
        <w:t>物业服务费标准</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6"/>
          <w:sz w:val="22"/>
          <w:szCs w:val="22"/>
        </w:rPr>
        <w:t xml:space="preserve">    物业服务费用由业主按其拥有物业的建筑面积交纳，具</w:t>
      </w:r>
      <w:r>
        <w:rPr>
          <w:rFonts w:hint="eastAsia" w:ascii="方正书宋_GBK" w:hAnsi="方正书宋_GBK" w:eastAsia="方正书宋_GBK" w:cs="方正书宋_GBK"/>
          <w:sz w:val="22"/>
          <w:szCs w:val="22"/>
        </w:rPr>
        <w:t>体标准如下：</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多层住宅:</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元/月·平方米;</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高层住宅:</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元/月·平方米;</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别墅:</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元/月·平方米;</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办公楼:</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元/月·平方米;</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商业物业:</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元/月·平方米;</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物业:</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元/月·平方米。</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依法将住宅变更为其他用途的, 应根据变更后的物业性质,</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按相应收费标准交费。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 xml:space="preserve">第六条 </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本物业管理区域物业服务费选择以下第</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种方式:</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1、包干制</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物业服务费主要用于以下开支:</w:t>
      </w:r>
    </w:p>
    <w:p>
      <w:pPr>
        <w:pStyle w:val="3"/>
        <w:keepNext w:val="0"/>
        <w:keepLines w:val="0"/>
        <w:pageBreakBefore w:val="0"/>
        <w:widowControl w:val="0"/>
        <w:numPr>
          <w:ilvl w:val="0"/>
          <w:numId w:val="2"/>
        </w:numPr>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管理服务人员的工资、社会保险费用;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2</w:t>
      </w:r>
      <w:r>
        <w:rPr>
          <w:rFonts w:hint="eastAsia" w:ascii="方正书宋_GBK" w:hAnsi="方正书宋_GBK" w:eastAsia="方正书宋_GBK" w:cs="方正书宋_GBK"/>
          <w:sz w:val="22"/>
          <w:szCs w:val="22"/>
        </w:rPr>
        <w:t>） 物业共用部位、共用设施设备的日常运行、 维护、 检测费用;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3</w:t>
      </w:r>
      <w:r>
        <w:rPr>
          <w:rFonts w:hint="eastAsia" w:ascii="方正书宋_GBK" w:hAnsi="方正书宋_GBK" w:eastAsia="方正书宋_GBK" w:cs="方正书宋_GBK"/>
          <w:sz w:val="22"/>
          <w:szCs w:val="22"/>
        </w:rPr>
        <w:t>） 物业管理区域清洁卫生费用;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4</w:t>
      </w:r>
      <w:r>
        <w:rPr>
          <w:rFonts w:hint="eastAsia" w:ascii="方正书宋_GBK" w:hAnsi="方正书宋_GBK" w:eastAsia="方正书宋_GBK" w:cs="方正书宋_GBK"/>
          <w:sz w:val="22"/>
          <w:szCs w:val="22"/>
        </w:rPr>
        <w:t>） 物业管理区域绿化养护费用;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5</w:t>
      </w:r>
      <w:r>
        <w:rPr>
          <w:rFonts w:hint="eastAsia" w:ascii="方正书宋_GBK" w:hAnsi="方正书宋_GBK" w:eastAsia="方正书宋_GBK" w:cs="方正书宋_GBK"/>
          <w:sz w:val="22"/>
          <w:szCs w:val="22"/>
        </w:rPr>
        <w:t>） 物业管理区域秩序维护费用;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6</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办公费用;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7</w:t>
      </w:r>
      <w:r>
        <w:rPr>
          <w:rFonts w:hint="eastAsia" w:ascii="方正书宋_GBK" w:hAnsi="方正书宋_GBK" w:eastAsia="方正书宋_GBK" w:cs="方正书宋_GBK"/>
          <w:sz w:val="22"/>
          <w:szCs w:val="22"/>
        </w:rPr>
        <w:t>） 物业管理人固定资产折旧;</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8</w:t>
      </w:r>
      <w:r>
        <w:rPr>
          <w:rFonts w:hint="eastAsia" w:ascii="方正书宋_GBK" w:hAnsi="方正书宋_GBK" w:eastAsia="方正书宋_GBK" w:cs="方正书宋_GBK"/>
          <w:sz w:val="22"/>
          <w:szCs w:val="22"/>
        </w:rPr>
        <w:t>） 物业共用部位, 共用设施设备及公众责任保险费用;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9</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法定税费；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10</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物业管理人的利润；</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11</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包干制服务费不含下列费用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1</w:t>
      </w:r>
      <w:r>
        <w:rPr>
          <w:rFonts w:hint="eastAsia" w:ascii="方正书宋_GBK" w:hAnsi="方正书宋_GBK" w:eastAsia="方正书宋_GBK" w:cs="方正书宋_GBK"/>
          <w:sz w:val="22"/>
          <w:szCs w:val="22"/>
        </w:rPr>
        <w:t>）物业共用部位、共用设施设备维修和更新、改造费用；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2</w:t>
      </w:r>
      <w:r>
        <w:rPr>
          <w:rFonts w:hint="eastAsia" w:ascii="方正书宋_GBK" w:hAnsi="方正书宋_GBK" w:eastAsia="方正书宋_GBK" w:cs="方正书宋_GBK"/>
          <w:sz w:val="22"/>
          <w:szCs w:val="22"/>
        </w:rPr>
        <w:t>）产权归专业经营单位的专业经营设施设备的运行、维修、养护、更新费用；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3</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乙方按照上述标准收取物业服务费用，并按本合同约定的服务内容和标准提供服务，盈余或亏损由乙方享有或承担。乙方不得以亏损为由单方要求增加费用、降低服务标准或减少服务项目。</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2、酬金制</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物业服务费由物业服务支出和乙方的酬金构成。</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物业服务费为所交纳的业主所有，由乙方代管，主要用于以下开支：</w:t>
      </w:r>
    </w:p>
    <w:p>
      <w:pPr>
        <w:pStyle w:val="3"/>
        <w:keepNext w:val="0"/>
        <w:keepLines w:val="0"/>
        <w:pageBreakBefore w:val="0"/>
        <w:widowControl w:val="0"/>
        <w:numPr>
          <w:ilvl w:val="0"/>
          <w:numId w:val="3"/>
        </w:numPr>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管理服务人员的工资、社会保险费用；</w:t>
      </w:r>
    </w:p>
    <w:p>
      <w:pPr>
        <w:pStyle w:val="3"/>
        <w:keepNext w:val="0"/>
        <w:keepLines w:val="0"/>
        <w:pageBreakBefore w:val="0"/>
        <w:widowControl w:val="0"/>
        <w:numPr>
          <w:ilvl w:val="0"/>
          <w:numId w:val="3"/>
        </w:numPr>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物业共用部位、共用设施设备的日常运行、维护、检测费用；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3</w:t>
      </w:r>
      <w:r>
        <w:rPr>
          <w:rFonts w:hint="eastAsia" w:ascii="方正书宋_GBK" w:hAnsi="方正书宋_GBK" w:eastAsia="方正书宋_GBK" w:cs="方正书宋_GBK"/>
          <w:sz w:val="22"/>
          <w:szCs w:val="22"/>
        </w:rPr>
        <w:t>）物业管理区域清洁卫生费用；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4</w:t>
      </w:r>
      <w:r>
        <w:rPr>
          <w:rFonts w:hint="eastAsia" w:ascii="方正书宋_GBK" w:hAnsi="方正书宋_GBK" w:eastAsia="方正书宋_GBK" w:cs="方正书宋_GBK"/>
          <w:sz w:val="22"/>
          <w:szCs w:val="22"/>
        </w:rPr>
        <w:t>）物业管理区域绿化养护费用；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5</w:t>
      </w:r>
      <w:r>
        <w:rPr>
          <w:rFonts w:hint="eastAsia" w:ascii="方正书宋_GBK" w:hAnsi="方正书宋_GBK" w:eastAsia="方正书宋_GBK" w:cs="方正书宋_GBK"/>
          <w:sz w:val="22"/>
          <w:szCs w:val="22"/>
        </w:rPr>
        <w:t>）物业管理区域秩序维护费用；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6</w:t>
      </w:r>
      <w:r>
        <w:rPr>
          <w:rFonts w:hint="eastAsia" w:ascii="方正书宋_GBK" w:hAnsi="方正书宋_GBK" w:eastAsia="方正书宋_GBK" w:cs="方正书宋_GBK"/>
          <w:sz w:val="22"/>
          <w:szCs w:val="22"/>
        </w:rPr>
        <w:t>）办公费用；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7</w:t>
      </w:r>
      <w:r>
        <w:rPr>
          <w:rFonts w:hint="eastAsia" w:ascii="方正书宋_GBK" w:hAnsi="方正书宋_GBK" w:eastAsia="方正书宋_GBK" w:cs="方正书宋_GBK"/>
          <w:sz w:val="22"/>
          <w:szCs w:val="22"/>
        </w:rPr>
        <w:t>）物业管理人固定资产折旧；</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8</w:t>
      </w:r>
      <w:r>
        <w:rPr>
          <w:rFonts w:hint="eastAsia" w:ascii="方正书宋_GBK" w:hAnsi="方正书宋_GBK" w:eastAsia="方正书宋_GBK" w:cs="方正书宋_GBK"/>
          <w:sz w:val="22"/>
          <w:szCs w:val="22"/>
        </w:rPr>
        <w:t>）物业共用部位、共用设施设备及公众责任保险费用；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9</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乙方采取以下第</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种方式提取酬金：</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1</w:t>
      </w:r>
      <w:r>
        <w:rPr>
          <w:rFonts w:hint="eastAsia" w:ascii="方正书宋_GBK" w:hAnsi="方正书宋_GBK" w:eastAsia="方正书宋_GBK" w:cs="方正书宋_GBK"/>
          <w:sz w:val="22"/>
          <w:szCs w:val="22"/>
        </w:rPr>
        <w:t>）乙方按</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(每月/每季/每年)</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元的标准从预收的物业服务费中提取。</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2</w:t>
      </w:r>
      <w:r>
        <w:rPr>
          <w:rFonts w:hint="eastAsia" w:ascii="方正书宋_GBK" w:hAnsi="方正书宋_GBK" w:eastAsia="方正书宋_GBK" w:cs="方正书宋_GBK"/>
          <w:sz w:val="22"/>
          <w:szCs w:val="22"/>
        </w:rPr>
        <w:t>）乙方</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(每月/每季/每年)按应收的物业服务费</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%的比例提取。</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物业服务支出应全部用于本合同约定的支出。物业服务支出年度结算后结余部分，转入下一年度继续使用；物业服务支出年度结算后不足部分，由全体业主按比例承担。</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第七条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物业服务实行酬金制方式计费的，乙方应向全体业主公布物业管理年度计划和物业服务费年度预决算，并每年</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次向全体业主公布物业服务费的收支情况。</w:t>
      </w:r>
    </w:p>
    <w:p>
      <w:pPr>
        <w:pStyle w:val="3"/>
        <w:keepNext w:val="0"/>
        <w:keepLines w:val="0"/>
        <w:pageBreakBefore w:val="0"/>
        <w:widowControl w:val="0"/>
        <w:tabs>
          <w:tab w:val="left" w:pos="880"/>
        </w:tabs>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对物业服务费收支情况有争议的，甲乙双方同意采取以下方式解决：</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1、协商；</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2、</w:t>
      </w:r>
      <w:r>
        <w:rPr>
          <w:rFonts w:hint="eastAsia" w:ascii="方正书宋_GBK" w:hAnsi="方正书宋_GBK" w:eastAsia="方正书宋_GBK" w:cs="方正书宋_GBK"/>
          <w:sz w:val="22"/>
          <w:szCs w:val="22"/>
        </w:rPr>
        <w:t>专业机构审计，费用由</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承担；</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3、</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第八条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本合同约定期限起始之日至出售房屋交付之日前发生的物业服务费由甲方承担，房屋交付之日起的物业服务费由业主承担。</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符合交付条件的物业，物业买受人逾期不办理交付手续的，</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物业服务费自甲方书面通知物业买受人办理交付手续之日起由物业买受人交纳。</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物业管理区域内已竣工但尚未出售的物业、因甲方原因未</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能按时交付物业买受人的物业、不符合交付要求而交付的前期物业及甲方的自有物业，其物业服务费由甲方交纳。</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业主出租物业时，应当将本合同以及有关费用交纳情况等事项告知承租人，并自租赁合同签订之日起</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日内，将出租情况告知乙方。</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业主长期空置物业时，应当告知乙方，并与乙方就专有部</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分的养护、维修、管理等事项进行协商，采取措施防止漏水、漏气等事故的发生。</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本条规定由甲方承担的物业服务费按</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(每月/每季/每半年)交纳给乙方，甲方应在(每月第</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日/每季的第</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月第</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日/每年</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日)之前履行交纳义务；由业主或物业使用人承担的物业服务费按(每月第</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日/每季的第</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月第</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日/每年</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日)之前履行交纳义务。</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业主转让物业时应结清物业服务费及其它相关费用。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第九条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机动车停放收费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（一）停车服务费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u w:val="single"/>
          <w:lang w:val="en-US"/>
        </w:rPr>
      </w:pPr>
      <w:r>
        <w:rPr>
          <w:rFonts w:hint="eastAsia" w:ascii="方正书宋_GBK" w:hAnsi="方正书宋_GBK" w:eastAsia="方正书宋_GBK" w:cs="方正书宋_GBK"/>
          <w:sz w:val="22"/>
          <w:szCs w:val="22"/>
        </w:rPr>
        <w:t>购买使用物业管理区域内规划用于停放机动车的车库(场)内的车位，物业管理人提供相应服务的，由车位使用人向乙方交纳停车服务费。停车服务费按如下标准收取：</w:t>
      </w:r>
      <w:r>
        <w:rPr>
          <w:rFonts w:hint="eastAsia" w:ascii="方正书宋_GBK" w:hAnsi="方正书宋_GBK" w:eastAsia="方正书宋_GBK" w:cs="方正书宋_GBK"/>
          <w:sz w:val="22"/>
          <w:szCs w:val="22"/>
          <w:u w:val="single"/>
          <w:lang w:val="en-US"/>
        </w:rPr>
        <w:t xml:space="preserve">                    </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停车服务包括如下内容：</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1、停车场共用车位和共用部位的维护；</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2、停车场配套的设施、设备(包括照明、通排风、给排</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水、消防、标识、道闸等系统)的维护、管理；</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3、停车场的公共环境清洁卫生；</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4、车辆出入的指引、疏导；</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5、</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停车服务费主要用于以下开支：</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1、停车库(位)服务人员的工资、社会保险费用；</w:t>
      </w:r>
    </w:p>
    <w:p>
      <w:pPr>
        <w:pStyle w:val="3"/>
        <w:keepNext w:val="0"/>
        <w:keepLines w:val="0"/>
        <w:pageBreakBefore w:val="0"/>
        <w:widowControl w:val="0"/>
        <w:numPr>
          <w:ilvl w:val="0"/>
          <w:numId w:val="4"/>
        </w:numPr>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停车库(位)共有部位的维护费用（业主自有车位的维修</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养护费用由其自行承担）；</w:t>
      </w:r>
    </w:p>
    <w:p>
      <w:pPr>
        <w:pStyle w:val="3"/>
        <w:keepNext w:val="0"/>
        <w:keepLines w:val="0"/>
        <w:pageBreakBefore w:val="0"/>
        <w:widowControl w:val="0"/>
        <w:numPr>
          <w:ilvl w:val="0"/>
          <w:numId w:val="4"/>
        </w:numPr>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停车库(位)配套的共用设施、设备(包括照明、通排</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风、给排水、消防、标识、道闸等系统)的维护费用；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4</w:t>
      </w:r>
      <w:r>
        <w:rPr>
          <w:rFonts w:hint="eastAsia" w:ascii="方正书宋_GBK" w:hAnsi="方正书宋_GBK" w:eastAsia="方正书宋_GBK" w:cs="方正书宋_GBK"/>
          <w:sz w:val="22"/>
          <w:szCs w:val="22"/>
        </w:rPr>
        <w:t>、停车库(位)的配套的共用设施、设备的运行费用；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5</w:t>
      </w:r>
      <w:r>
        <w:rPr>
          <w:rFonts w:hint="eastAsia" w:ascii="方正书宋_GBK" w:hAnsi="方正书宋_GBK" w:eastAsia="方正书宋_GBK" w:cs="方正书宋_GBK"/>
          <w:sz w:val="22"/>
          <w:szCs w:val="22"/>
        </w:rPr>
        <w:t>、停车场的公共环境清洁卫生费用；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6、法定税费；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7、</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（二）车位租赁费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业主或物业使用人租赁甲方所有的车位，由业主或物业使用人向甲方交纳车位租赁费。甲方尚未售出的车位，优先承租给业主或物业使用人。车位租赁费按如下标准取：</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甲方委托乙方管理和收取车位租赁费的，乙方按车位租金</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%的比例提取管理费用。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（三）车位场地使用费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占用物业管理区域内业主共有道路或者其他公共区域停放机动车的，交纳车位场地使用费。车位场地使用费按如下标准收取：</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第十条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利用物业共用部位、共用设施设备进行经营的收入以及车位场地使用费等收益资金归全体业主共有，由乙方代为收取。乙方按收益资金的</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%提取管理服务费用，用于支付经营、管理及收取、保管资金开支。</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收益资金在扣除管理服务费用后，剩余资金</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%由乙方按季度交存至住宅专项维修资金公共账户，其余用于折抵物业服务费。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乙方代为收取的物业共用部位、共用设施设备经营收入和车位场地使用费等收益资金，应当单独列账，独立核算，按季度将收支明细在物业管理区域的显著位置予以公示。公示时间不少于一个月。</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第十一条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物业管理区域内，供水、供电、供气、供热、通讯。有线电视等有关费用由专业经营单位向最终用户收取。</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乙方接受专业经营单位以及环卫管理单位委托代收费用的，不得向业主收取手续费等额外费用。</w:t>
      </w:r>
    </w:p>
    <w:p>
      <w:pPr>
        <w:pStyle w:val="3"/>
        <w:numPr>
          <w:ilvl w:val="0"/>
          <w:numId w:val="0"/>
        </w:numPr>
        <w:tabs>
          <w:tab w:val="left" w:pos="1281"/>
        </w:tabs>
        <w:spacing w:line="520" w:lineRule="exact"/>
        <w:ind w:right="320" w:rightChars="0"/>
        <w:jc w:val="center"/>
        <w:rPr>
          <w:rFonts w:ascii="黑体" w:hAnsi="黑体" w:eastAsia="黑体" w:cs="黑体"/>
        </w:rPr>
      </w:pPr>
      <w:r>
        <w:rPr>
          <w:rFonts w:hint="eastAsia" w:ascii="方正黑体_GBK" w:hAnsi="方正黑体_GBK" w:eastAsia="方正黑体_GBK" w:cs="方正黑体_GBK"/>
          <w:sz w:val="28"/>
          <w:szCs w:val="28"/>
          <w:lang w:eastAsia="zh-CN"/>
        </w:rPr>
        <w:t>第四章</w:t>
      </w:r>
      <w:r>
        <w:rPr>
          <w:rFonts w:hint="eastAsia" w:ascii="方正黑体_GBK" w:hAnsi="方正黑体_GBK" w:eastAsia="方正黑体_GBK" w:cs="方正黑体_GBK"/>
          <w:sz w:val="28"/>
          <w:szCs w:val="28"/>
          <w:lang w:val="en-US" w:eastAsia="zh-CN"/>
        </w:rPr>
        <w:t xml:space="preserve"> </w:t>
      </w:r>
      <w:r>
        <w:rPr>
          <w:rFonts w:hint="eastAsia" w:ascii="方正黑体_GBK" w:hAnsi="方正黑体_GBK" w:eastAsia="方正黑体_GBK" w:cs="方正黑体_GBK"/>
          <w:sz w:val="28"/>
          <w:szCs w:val="28"/>
          <w:lang w:eastAsia="zh-CN"/>
        </w:rPr>
        <w:t>物业的承接查验</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第十二条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甲方应当于</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日前通知乙方承接查验物业，甲方与乙方应当于物业交付前15日，按照《物业承接查验办法》(建房〔2010〕165号)规定，完成对本合同附件3、附件4规定的物业共用部位、共用设施设备的承接查验工作，并签订物业承接查验协议，作为界定各自在开发建设和物业服务方面承担责任的依据。查验中双方确认的问题应做好书面记录，甲方承诺在合理期限内予以解决。甲方应当依法移交的供水、供电供气、供热、通讯和有线电视等专营设施设备，不作为乙方现场检查和验收的内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第十三条</w:t>
      </w:r>
      <w:r>
        <w:rPr>
          <w:rFonts w:hint="eastAsia" w:ascii="方正书宋_GBK" w:hAnsi="方正书宋_GBK" w:eastAsia="方正书宋_GBK" w:cs="方正书宋_GBK"/>
          <w:sz w:val="22"/>
          <w:szCs w:val="22"/>
          <w:lang w:val="en-US"/>
        </w:rPr>
        <w:t xml:space="preserve">  乙方承接物业时，甲方应向乙方移交下列资料：</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（一）竣工总平面图，单体</w:t>
      </w:r>
      <w:r>
        <w:rPr>
          <w:rFonts w:hint="eastAsia" w:ascii="方正书宋_GBK" w:hAnsi="方正书宋_GBK" w:eastAsia="方正书宋_GBK" w:cs="方正书宋_GBK"/>
          <w:sz w:val="22"/>
          <w:szCs w:val="22"/>
        </w:rPr>
        <w:t>建筑、结构、设备竣工图，配套</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设施、地下管网工程竣工图等竣工验收资料；</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（二）设施设备的安装、使用和维护保养等技术资料；</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（三）供水、供电、供气、供热、通信、有线电视等准许使</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用文件；</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（四）物业质量保修文件和物业使用说明文件；</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（五）业主清册(包括业主姓名、联系地址和电话，房屋建</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筑面积、交付时间等)；</w:t>
      </w:r>
    </w:p>
    <w:p>
      <w:pPr>
        <w:pStyle w:val="3"/>
        <w:keepNext w:val="0"/>
        <w:keepLines w:val="0"/>
        <w:pageBreakBefore w:val="0"/>
        <w:widowControl w:val="0"/>
        <w:numPr>
          <w:ilvl w:val="0"/>
          <w:numId w:val="5"/>
        </w:numPr>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第十四条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承接查验所需全部费用由</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承担。</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第十五条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物业承接查验协议生效后，当事人一方不履行协</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议约定的交接义务，导致前期物业服务合同无法履行的，应当承担违约责任。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第十六条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物业交接后，甲方未能按照物业承接查验协议的约定，及时解决物业共用部位、共用设施设备存在的问题，导致业主人身、财产安全受到损害的，应当依法承担相应的法律责任。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第十七条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物业交接后，发现隐蔽工程质量问题，影响房屋结构安全和正常使用的，甲方应当负责修复；给业主造成经济损失的，甲方应当依法承担赔偿责任。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第十八条</w:t>
      </w:r>
      <w:r>
        <w:rPr>
          <w:rFonts w:hint="eastAsia" w:ascii="方正书宋_GBK" w:hAnsi="方正书宋_GBK" w:eastAsia="方正书宋_GBK" w:cs="方正书宋_GBK"/>
          <w:sz w:val="22"/>
          <w:szCs w:val="22"/>
          <w:lang w:val="en-US"/>
        </w:rPr>
        <w:t xml:space="preserve">  乙方应当将承接查验有关的文件、资料和记录建立档案并妥善保管。</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第十九条  甲方和乙方应当将物业承接查验情况书面告知业主。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第二十条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甲方应保证交付使用的物业符合国家规定的规划、设计、施工验收标准，按照不低于国家规定的质量保修期限和保修范围承担物业保修责任。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如甲方委托乙方代为履行保修责任的，双方应当另行订立委托协议。</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640" w:firstLineChars="200"/>
        <w:textAlignment w:val="auto"/>
      </w:pPr>
    </w:p>
    <w:p>
      <w:pPr>
        <w:pStyle w:val="3"/>
        <w:keepNext w:val="0"/>
        <w:keepLines w:val="0"/>
        <w:pageBreakBefore w:val="0"/>
        <w:widowControl w:val="0"/>
        <w:numPr>
          <w:ilvl w:val="0"/>
          <w:numId w:val="0"/>
        </w:numPr>
        <w:tabs>
          <w:tab w:val="left" w:pos="1281"/>
        </w:tabs>
        <w:kinsoku/>
        <w:wordWrap/>
        <w:overflowPunct/>
        <w:topLinePunct w:val="0"/>
        <w:autoSpaceDE w:val="0"/>
        <w:autoSpaceDN w:val="0"/>
        <w:bidi w:val="0"/>
        <w:adjustRightInd/>
        <w:snapToGrid/>
        <w:spacing w:line="420" w:lineRule="exact"/>
        <w:ind w:right="320" w:rightChars="0"/>
        <w:jc w:val="center"/>
        <w:textAlignment w:val="auto"/>
        <w:rPr>
          <w:rFonts w:ascii="黑体" w:hAnsi="黑体" w:eastAsia="黑体" w:cs="黑体"/>
        </w:rPr>
      </w:pPr>
      <w:r>
        <w:rPr>
          <w:rFonts w:hint="eastAsia" w:ascii="方正黑体_GBK" w:hAnsi="方正黑体_GBK" w:eastAsia="方正黑体_GBK" w:cs="方正黑体_GBK"/>
          <w:sz w:val="28"/>
          <w:szCs w:val="28"/>
          <w:lang w:eastAsia="zh-CN"/>
        </w:rPr>
        <w:t>第五章</w:t>
      </w:r>
      <w:r>
        <w:rPr>
          <w:rFonts w:hint="eastAsia" w:ascii="方正黑体_GBK" w:hAnsi="方正黑体_GBK" w:eastAsia="方正黑体_GBK" w:cs="方正黑体_GBK"/>
          <w:sz w:val="28"/>
          <w:szCs w:val="28"/>
          <w:lang w:val="en-US" w:eastAsia="zh-CN"/>
        </w:rPr>
        <w:t xml:space="preserve"> 物业的使用和维护</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第二十一条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乙方应协助甲方制定本物业管理区域内的《临时管理规约》，约定物业共用部位和共用设施设备使用、公共秩序和环境卫生维护等方面的规章制度。</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乙方根据规章制度提供管理服务时，甲方、业主（物业使用人）应给予必要配合并遵守履行。</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第二十二条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乙方发现业主(物业使用人)有违反物业管理法律法规、《临时管理规约》和物业管理区域内物业管理制度的行为时，应当予以及时劝阻、制止、报告。</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第二十三条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乙方应及时向全体业主通告本物业管理区域内有关物业管理的重大事项，受理业主(物业使用人)的建议、意见和投诉，接受甲方、业主和物业使用人的监督，并定期公布相关信息接收业主（物业使用人）监督，不断提高物业服务质量和管理水平。</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第二十四条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因物业维修或者公共利益，甲方或乙方确需临时占用、挖掘本物业管理区域内道路、场地的，应当提前告知对方和相关业主，并采取措施保障安全，在约定期限内恢复原状。按规定应报行政管理部门审批的，应当遵守相关规定。</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第二十五条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物业装饰装修前，乙方与业主或物业使用人签</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订书面装饰装修服务协议，就允许施工的时间、废弃物的清运与处置、履行协议担保等事项进行约定，乙方应当告知相关的禁止行为和注意事项，并将装饰装修的时间、地点等情况在业主所在楼内公示。</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装修期间对装修施工人员实行出入证管理的，不得收取费用。乙方应当对装饰装修活动进行巡查，发现装饰装修人和建筑装饰装修施工方有违反法律、法规、规章或其他禁止行为的，应当予以劝阻、制止；对劝阻、制止无效的，应当及时报告相关部门。</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第二十六条</w:t>
      </w:r>
      <w:r>
        <w:rPr>
          <w:rFonts w:hint="eastAsia" w:ascii="方正书宋_GBK" w:hAnsi="方正书宋_GBK" w:eastAsia="方正书宋_GBK" w:cs="方正书宋_GBK"/>
          <w:sz w:val="22"/>
          <w:szCs w:val="22"/>
          <w:lang w:val="en-US"/>
        </w:rPr>
        <w:t xml:space="preserve">  甲方应于</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年</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月</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日前向乙方无偿提供</w:t>
      </w:r>
      <w:r>
        <w:rPr>
          <w:rFonts w:hint="eastAsia" w:ascii="方正书宋_GBK" w:hAnsi="方正书宋_GBK" w:eastAsia="方正书宋_GBK" w:cs="方正书宋_GBK"/>
          <w:sz w:val="22"/>
          <w:szCs w:val="22"/>
        </w:rPr>
        <w:t>符合法定要求的物业服务用房。物业服务用房属全体业主共有，乙方在物业服务期限内无偿使用并负责维护管理，但不得擅自改变其用途。</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物业服务用房建筑面积为</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平方米（物业服务用房平面图及说明见附件6），</w:t>
      </w:r>
      <w:r>
        <w:rPr>
          <w:rFonts w:hint="eastAsia" w:ascii="方正书宋_GBK" w:hAnsi="方正书宋_GBK" w:eastAsia="方正书宋_GBK" w:cs="方正书宋_GBK"/>
          <w:bCs/>
          <w:sz w:val="22"/>
          <w:szCs w:val="22"/>
        </w:rPr>
        <w:t>其中：物业管理人办公用房建筑面积为</w:t>
      </w:r>
      <w:r>
        <w:rPr>
          <w:rFonts w:hint="eastAsia" w:ascii="方正书宋_GBK" w:hAnsi="方正书宋_GBK" w:eastAsia="方正书宋_GBK" w:cs="方正书宋_GBK"/>
          <w:bCs/>
          <w:sz w:val="22"/>
          <w:szCs w:val="22"/>
          <w:u w:val="single"/>
        </w:rPr>
        <w:t>　 　</w:t>
      </w:r>
      <w:r>
        <w:rPr>
          <w:rFonts w:hint="eastAsia" w:ascii="方正书宋_GBK" w:hAnsi="方正书宋_GBK" w:eastAsia="方正书宋_GBK" w:cs="方正书宋_GBK"/>
          <w:bCs/>
          <w:sz w:val="22"/>
          <w:szCs w:val="22"/>
        </w:rPr>
        <w:t>平方米，位于</w:t>
      </w:r>
      <w:r>
        <w:rPr>
          <w:rFonts w:hint="eastAsia" w:ascii="方正书宋_GBK" w:hAnsi="方正书宋_GBK" w:eastAsia="方正书宋_GBK" w:cs="方正书宋_GBK"/>
          <w:bCs/>
          <w:sz w:val="22"/>
          <w:szCs w:val="22"/>
          <w:u w:val="single"/>
        </w:rPr>
        <w:t>　 　</w:t>
      </w:r>
      <w:r>
        <w:rPr>
          <w:rFonts w:hint="eastAsia" w:ascii="方正书宋_GBK" w:hAnsi="方正书宋_GBK" w:eastAsia="方正书宋_GBK" w:cs="方正书宋_GBK"/>
          <w:bCs/>
          <w:sz w:val="22"/>
          <w:szCs w:val="22"/>
        </w:rPr>
        <w:t>栋</w:t>
      </w:r>
      <w:r>
        <w:rPr>
          <w:rFonts w:hint="eastAsia" w:ascii="方正书宋_GBK" w:hAnsi="方正书宋_GBK" w:eastAsia="方正书宋_GBK" w:cs="方正书宋_GBK"/>
          <w:bCs/>
          <w:sz w:val="22"/>
          <w:szCs w:val="22"/>
          <w:u w:val="single"/>
        </w:rPr>
        <w:t xml:space="preserve">　   </w:t>
      </w:r>
      <w:r>
        <w:rPr>
          <w:rFonts w:hint="eastAsia" w:ascii="方正书宋_GBK" w:hAnsi="方正书宋_GBK" w:eastAsia="方正书宋_GBK" w:cs="方正书宋_GBK"/>
          <w:bCs/>
          <w:sz w:val="22"/>
          <w:szCs w:val="22"/>
        </w:rPr>
        <w:t>单元</w:t>
      </w:r>
      <w:r>
        <w:rPr>
          <w:rFonts w:hint="eastAsia" w:ascii="方正书宋_GBK" w:hAnsi="方正书宋_GBK" w:eastAsia="方正书宋_GBK" w:cs="方正书宋_GBK"/>
          <w:bCs/>
          <w:sz w:val="22"/>
          <w:szCs w:val="22"/>
          <w:u w:val="single"/>
        </w:rPr>
        <w:t xml:space="preserve">　　 </w:t>
      </w:r>
      <w:r>
        <w:rPr>
          <w:rFonts w:hint="eastAsia" w:ascii="方正书宋_GBK" w:hAnsi="方正书宋_GBK" w:eastAsia="方正书宋_GBK" w:cs="方正书宋_GBK"/>
          <w:bCs/>
          <w:sz w:val="22"/>
          <w:szCs w:val="22"/>
        </w:rPr>
        <w:t>室；业主委员会办公用房建筑面积为</w:t>
      </w:r>
      <w:r>
        <w:rPr>
          <w:rFonts w:hint="eastAsia" w:ascii="方正书宋_GBK" w:hAnsi="方正书宋_GBK" w:eastAsia="方正书宋_GBK" w:cs="方正书宋_GBK"/>
          <w:bCs/>
          <w:sz w:val="22"/>
          <w:szCs w:val="22"/>
          <w:u w:val="single"/>
        </w:rPr>
        <w:t>　　 　</w:t>
      </w:r>
      <w:r>
        <w:rPr>
          <w:rFonts w:hint="eastAsia" w:ascii="方正书宋_GBK" w:hAnsi="方正书宋_GBK" w:eastAsia="方正书宋_GBK" w:cs="方正书宋_GBK"/>
          <w:bCs/>
          <w:sz w:val="22"/>
          <w:szCs w:val="22"/>
        </w:rPr>
        <w:t>平方米，位于</w:t>
      </w:r>
      <w:r>
        <w:rPr>
          <w:rFonts w:hint="eastAsia" w:ascii="方正书宋_GBK" w:hAnsi="方正书宋_GBK" w:eastAsia="方正书宋_GBK" w:cs="方正书宋_GBK"/>
          <w:bCs/>
          <w:sz w:val="22"/>
          <w:szCs w:val="22"/>
          <w:u w:val="single"/>
        </w:rPr>
        <w:t xml:space="preserve">　　 </w:t>
      </w:r>
      <w:r>
        <w:rPr>
          <w:rFonts w:hint="eastAsia" w:ascii="方正书宋_GBK" w:hAnsi="方正书宋_GBK" w:eastAsia="方正书宋_GBK" w:cs="方正书宋_GBK"/>
          <w:bCs/>
          <w:sz w:val="22"/>
          <w:szCs w:val="22"/>
        </w:rPr>
        <w:t>单元</w:t>
      </w:r>
      <w:r>
        <w:rPr>
          <w:rFonts w:hint="eastAsia" w:ascii="方正书宋_GBK" w:hAnsi="方正书宋_GBK" w:eastAsia="方正书宋_GBK" w:cs="方正书宋_GBK"/>
          <w:bCs/>
          <w:sz w:val="22"/>
          <w:szCs w:val="22"/>
          <w:u w:val="single"/>
        </w:rPr>
        <w:t>　　</w:t>
      </w:r>
      <w:r>
        <w:rPr>
          <w:rFonts w:hint="eastAsia" w:ascii="方正书宋_GBK" w:hAnsi="方正书宋_GBK" w:eastAsia="方正书宋_GBK" w:cs="方正书宋_GBK"/>
          <w:bCs/>
          <w:sz w:val="22"/>
          <w:szCs w:val="22"/>
        </w:rPr>
        <w:t>室。</w:t>
      </w:r>
      <w:r>
        <w:rPr>
          <w:rFonts w:hint="eastAsia" w:ascii="方正书宋_GBK" w:hAnsi="方正书宋_GBK" w:eastAsia="方正书宋_GBK" w:cs="方正书宋_GBK"/>
          <w:sz w:val="22"/>
          <w:szCs w:val="22"/>
          <w:lang w:val="en-US"/>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第二十七条  住宅专项维修资金的使用按照有关规定执行。</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lang w:val="en-US"/>
        </w:rPr>
      </w:pPr>
    </w:p>
    <w:p>
      <w:pPr>
        <w:pStyle w:val="3"/>
        <w:keepNext w:val="0"/>
        <w:keepLines w:val="0"/>
        <w:pageBreakBefore w:val="0"/>
        <w:widowControl w:val="0"/>
        <w:numPr>
          <w:ilvl w:val="0"/>
          <w:numId w:val="0"/>
        </w:numPr>
        <w:tabs>
          <w:tab w:val="left" w:pos="1281"/>
        </w:tabs>
        <w:kinsoku/>
        <w:wordWrap/>
        <w:overflowPunct/>
        <w:topLinePunct w:val="0"/>
        <w:autoSpaceDE w:val="0"/>
        <w:autoSpaceDN w:val="0"/>
        <w:bidi w:val="0"/>
        <w:adjustRightInd/>
        <w:snapToGrid/>
        <w:spacing w:line="420" w:lineRule="exact"/>
        <w:ind w:right="320" w:rightChars="0"/>
        <w:jc w:val="center"/>
        <w:textAlignment w:val="auto"/>
        <w:rPr>
          <w:rFonts w:ascii="黑体" w:hAnsi="黑体" w:eastAsia="黑体" w:cs="黑体"/>
        </w:rPr>
      </w:pPr>
      <w:r>
        <w:rPr>
          <w:rFonts w:hint="eastAsia" w:ascii="方正黑体_GBK" w:hAnsi="方正黑体_GBK" w:eastAsia="方正黑体_GBK" w:cs="方正黑体_GBK"/>
          <w:sz w:val="28"/>
          <w:szCs w:val="28"/>
          <w:lang w:eastAsia="zh-CN"/>
        </w:rPr>
        <w:t>第六章</w:t>
      </w:r>
      <w:r>
        <w:rPr>
          <w:rFonts w:hint="eastAsia" w:ascii="方正黑体_GBK" w:hAnsi="方正黑体_GBK" w:eastAsia="方正黑体_GBK" w:cs="方正黑体_GBK"/>
          <w:sz w:val="28"/>
          <w:szCs w:val="28"/>
          <w:lang w:val="en-US" w:eastAsia="zh-CN"/>
        </w:rPr>
        <w:t xml:space="preserve"> </w:t>
      </w:r>
      <w:r>
        <w:rPr>
          <w:rFonts w:hint="eastAsia" w:ascii="方正黑体_GBK" w:hAnsi="方正黑体_GBK" w:eastAsia="方正黑体_GBK" w:cs="方正黑体_GBK"/>
          <w:sz w:val="28"/>
          <w:szCs w:val="28"/>
          <w:lang w:eastAsia="zh-CN"/>
        </w:rPr>
        <w:t>违约责任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第二十八条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甲方违反本合同的约定，致使乙方无法提供和</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达到本合同约定的服务内容和标准的，乙方有权要求甲方解决，</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甲方拒绝整改的，乙方有权终止合同。造成乙方和业主(物业使</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用人)损失的，甲方应当给予乙方和业主(物业使用人)赔偿。</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第二十九条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乙方违反本合同的约定，服务质量达不到本合</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同第四条约定的标准的，甲方和业主(物业使用人)有权要求乙方解决。乙方拒绝整改的，征得半数以上业主同意，甲方有权终</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止合同。给甲方、业主(物业使用人)造成损失的，应向甲方、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业主(物业使用人)赔偿损失。</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第三十条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甲方、业主(物业使用人)违反本合同的约定，未能按时足额交纳物业服务费用(物业服务费)的，每日按未交数</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额</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的</w:t>
      </w:r>
      <w:r>
        <w:rPr>
          <w:rFonts w:hint="eastAsia" w:ascii="方正书宋_GBK" w:hAnsi="方正书宋_GBK" w:eastAsia="方正书宋_GBK" w:cs="方正书宋_GBK"/>
          <w:sz w:val="22"/>
          <w:szCs w:val="22"/>
        </w:rPr>
        <w:t>标准向乙方支付违约金。</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第三十一条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乙方违反本合同的约定，擅自提高物业服务费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用标准、增设本合同约定物业服务范围公共事务的收费项目或重复收费的，业主(物业使用人)有权拒绝交纳擅自提高或重复收取的部分费用，造成业主(物业使用人)损失的，应当给予赔偿。</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第三十二条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甲方违反本合同的约定，拒绝或拖延履行保修义务的，业主（物业使用人）可以自行或者委托乙方修复，修复费用及造成的其他损失由甲方承担。</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第三十三条</w:t>
      </w:r>
      <w:r>
        <w:rPr>
          <w:rFonts w:hint="eastAsia" w:ascii="方正书宋_GBK" w:hAnsi="方正书宋_GBK" w:eastAsia="方正书宋_GBK" w:cs="方正书宋_GBK"/>
          <w:sz w:val="22"/>
          <w:szCs w:val="22"/>
          <w:lang w:val="en-US"/>
        </w:rPr>
        <w:t xml:space="preserve">  以下情况乙方不承担违约责任：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（一）由于甲方、业主（物业使用人）的自身责任导致乙方的服务无法达到合同要求的；</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（二）因物业专有部分内专有部位及专有设施设备固有瑕疵</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造成损失的，但因乙方故意或乙方违反本合同义务而直接导致的</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情况除外；</w:t>
      </w:r>
    </w:p>
    <w:p>
      <w:pPr>
        <w:pStyle w:val="3"/>
        <w:keepNext w:val="0"/>
        <w:keepLines w:val="0"/>
        <w:pageBreakBefore w:val="0"/>
        <w:widowControl w:val="0"/>
        <w:numPr>
          <w:ilvl w:val="0"/>
          <w:numId w:val="6"/>
        </w:numPr>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因非乙方责任出现供水、供电、供气、供热、通讯、有线电视等专营设施设备以及其他共用设施设备运行故障造成损失的；</w:t>
      </w:r>
    </w:p>
    <w:p>
      <w:pPr>
        <w:pStyle w:val="3"/>
        <w:keepNext w:val="0"/>
        <w:keepLines w:val="0"/>
        <w:pageBreakBefore w:val="0"/>
        <w:widowControl w:val="0"/>
        <w:numPr>
          <w:ilvl w:val="0"/>
          <w:numId w:val="6"/>
        </w:numPr>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乙方按本合同履行协助做好物业管理区域内的安全防范义务，但发生不可预见、不可避免的治安或刑事案件(包括但不限于抢劫、破坏、爆炸、火灾、盗窃)的；</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（五）因维修养护物业共用部位、共用设施设备需要且事先</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已告知业主(物业使用人)，暂时停水、停电、停止共用设施设备使用等造成损失的；</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（六）乙方向甲方或业主提出书面建议要求修缮、改造专有或共有部位、设施设备或纠正不良行为，而甲方或业主(物业使</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用人)未采纳(包括但不限于高空抛物、违章装饰装修、未及时</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维修或改造等)造成损失的；</w:t>
      </w:r>
    </w:p>
    <w:p>
      <w:pPr>
        <w:pStyle w:val="3"/>
        <w:keepNext w:val="0"/>
        <w:keepLines w:val="0"/>
        <w:pageBreakBefore w:val="0"/>
        <w:widowControl w:val="0"/>
        <w:numPr>
          <w:ilvl w:val="0"/>
          <w:numId w:val="5"/>
        </w:numPr>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u w:val="single"/>
          <w:lang w:val="en-US"/>
        </w:rPr>
      </w:pP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第三十四条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本合同终止后乙方拖延、拒绝移交及撤场的，业主有权拒绝交纳物业服务费，甲方可向当地房产行政主管部门投诉，由当地街道办事处、乡镇人民政府组织移交。</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p>
    <w:p>
      <w:pPr>
        <w:pStyle w:val="3"/>
        <w:numPr>
          <w:ilvl w:val="0"/>
          <w:numId w:val="0"/>
        </w:numPr>
        <w:tabs>
          <w:tab w:val="left" w:pos="1281"/>
        </w:tabs>
        <w:spacing w:line="520" w:lineRule="exact"/>
        <w:ind w:right="320" w:rightChars="0"/>
        <w:jc w:val="center"/>
        <w:rPr>
          <w:rFonts w:ascii="黑体" w:hAnsi="黑体" w:eastAsia="黑体" w:cs="黑体"/>
        </w:rPr>
      </w:pPr>
      <w:r>
        <w:rPr>
          <w:rFonts w:hint="eastAsia" w:ascii="方正黑体_GBK" w:hAnsi="方正黑体_GBK" w:eastAsia="方正黑体_GBK" w:cs="方正黑体_GBK"/>
          <w:sz w:val="28"/>
          <w:szCs w:val="28"/>
          <w:lang w:eastAsia="zh-CN"/>
        </w:rPr>
        <w:t>第七章</w:t>
      </w:r>
      <w:r>
        <w:rPr>
          <w:rFonts w:hint="eastAsia" w:ascii="方正黑体_GBK" w:hAnsi="方正黑体_GBK" w:eastAsia="方正黑体_GBK" w:cs="方正黑体_GBK"/>
          <w:sz w:val="28"/>
          <w:szCs w:val="28"/>
          <w:lang w:val="en-US" w:eastAsia="zh-CN"/>
        </w:rPr>
        <w:t xml:space="preserve"> 其他</w:t>
      </w:r>
      <w:r>
        <w:rPr>
          <w:rFonts w:hint="eastAsia" w:ascii="方正黑体_GBK" w:hAnsi="方正黑体_GBK" w:eastAsia="方正黑体_GBK" w:cs="方正黑体_GBK"/>
          <w:sz w:val="28"/>
          <w:szCs w:val="28"/>
          <w:lang w:eastAsia="zh-CN"/>
        </w:rPr>
        <w:t>事项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第三十五条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本合同期限自</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年</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月</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日起至</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年</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月</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日止；但在本合同期限内，业主大会执行机构代表全体业主与物业管理人签订的物业服务合同生效时，本合同自动终止</w:t>
      </w:r>
      <w:r>
        <w:rPr>
          <w:rFonts w:hint="eastAsia" w:ascii="方正书宋_GBK" w:hAnsi="方正书宋_GBK" w:eastAsia="方正书宋_GBK" w:cs="方正书宋_GBK"/>
          <w:sz w:val="22"/>
          <w:szCs w:val="22"/>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第三十六条</w:t>
      </w:r>
      <w:r>
        <w:rPr>
          <w:rFonts w:hint="eastAsia" w:ascii="方正书宋_GBK" w:hAnsi="方正书宋_GBK" w:eastAsia="方正书宋_GBK" w:cs="方正书宋_GBK"/>
          <w:sz w:val="22"/>
          <w:szCs w:val="22"/>
          <w:lang w:val="en-US"/>
        </w:rPr>
        <w:t xml:space="preserve">  本合同期满前，业主大会</w:t>
      </w:r>
      <w:r>
        <w:rPr>
          <w:rFonts w:hint="eastAsia" w:ascii="方正书宋_GBK" w:hAnsi="方正书宋_GBK" w:eastAsia="方正书宋_GBK" w:cs="方正书宋_GBK"/>
          <w:sz w:val="22"/>
          <w:szCs w:val="22"/>
        </w:rPr>
        <w:t>尚未成立的，甲、乙</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双方应就是否延长本合同期限达成协议。双方同意续签，应于本</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合同到期前</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日内签订新的物业服务合同；未能达成一致的，</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甲方应在本合同期满前按本合同约定的服务质量选聘新的物业</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管理人。</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甲方决定不再聘用乙方的，应在期满前</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个月书面通知乙</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方；乙方决定不再续约的，应在期满前</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个月书面通知甲方。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第三十七条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本合同期满前发生下列情形且业主大会尚未成立的，甲方可以终止合同另行选聘物业管理人：</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（一）乙方违约无法提供和达到本合同第四条约定的服务内</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容和服务标准，征得半数以上业主同意解聘原物业管理人的；</w:t>
      </w:r>
    </w:p>
    <w:p>
      <w:pPr>
        <w:pStyle w:val="3"/>
        <w:keepNext w:val="0"/>
        <w:keepLines w:val="0"/>
        <w:pageBreakBefore w:val="0"/>
        <w:widowControl w:val="0"/>
        <w:numPr>
          <w:ilvl w:val="0"/>
          <w:numId w:val="7"/>
        </w:numPr>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乙方提出解除合同的；</w:t>
      </w:r>
    </w:p>
    <w:p>
      <w:pPr>
        <w:pStyle w:val="3"/>
        <w:keepNext w:val="0"/>
        <w:keepLines w:val="0"/>
        <w:pageBreakBefore w:val="0"/>
        <w:widowControl w:val="0"/>
        <w:numPr>
          <w:ilvl w:val="0"/>
          <w:numId w:val="7"/>
        </w:numPr>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乙方因解散、破产等原因无法履行合同的；</w:t>
      </w:r>
    </w:p>
    <w:p>
      <w:pPr>
        <w:pStyle w:val="3"/>
        <w:keepNext w:val="0"/>
        <w:keepLines w:val="0"/>
        <w:pageBreakBefore w:val="0"/>
        <w:widowControl w:val="0"/>
        <w:numPr>
          <w:ilvl w:val="0"/>
          <w:numId w:val="7"/>
        </w:numPr>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第三十八条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自本合同终止前</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日内，乙方应将物业服务费用预收及欠款的清算、外包合同及经管收益合同的履行及物业</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共有部位及共用设施设备的运行状况、相关档案资料等完整地移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交给业主委员会；业主委员会尚未成立的，移交给</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代管。乙方不得以任何理由拒绝、拖延移交。</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第三十九条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甲方与物业买受人签订的房屋买卖合同，应当包含本合同约定的内容；物业买受人签订房屋买卖合同，即为对接受本合同内容的承诺 。</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第四十条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业主可与物业使用人就本合同的权利义务进行约定，但物业使用人违反本合同约定的，业主应承担连带责任。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第四十一条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本合同的附件为本合同不可分割的组成部分、与本合同具有同等法律效力。</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第四十二条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本合同自双方签章之日起生效。本合同未尽事</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宜，双方可另行以书面形式签订补充协议，涉及业主权益的应在</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物业管理区域公示。</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第四十三条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本合同在履行中发生争议，由双方协商解决；协商不成，双方可选择以下第</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种方式处理：</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1</w:t>
      </w:r>
      <w:r>
        <w:rPr>
          <w:rFonts w:hint="eastAsia" w:ascii="方正书宋_GBK" w:hAnsi="方正书宋_GBK" w:eastAsia="方正书宋_GBK" w:cs="方正书宋_GBK"/>
          <w:sz w:val="22"/>
          <w:szCs w:val="22"/>
        </w:rPr>
        <w:t>、向物业所在地仲裁委员会申请仲裁。</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2、向物业所在地人民法院提起诉讼。</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第四十四条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本合同一式六份，甲、乙双方各执两份，所在地价格主管部门和房地产行政主管部门各一份。</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附件：1、规划平面图</w:t>
      </w:r>
    </w:p>
    <w:p>
      <w:pPr>
        <w:pStyle w:val="3"/>
        <w:keepNext w:val="0"/>
        <w:keepLines w:val="0"/>
        <w:pageBreakBefore w:val="0"/>
        <w:widowControl w:val="0"/>
        <w:numPr>
          <w:ilvl w:val="0"/>
          <w:numId w:val="8"/>
        </w:numPr>
        <w:kinsoku/>
        <w:wordWrap/>
        <w:overflowPunct/>
        <w:topLinePunct w:val="0"/>
        <w:autoSpaceDE w:val="0"/>
        <w:autoSpaceDN w:val="0"/>
        <w:bidi w:val="0"/>
        <w:adjustRightInd/>
        <w:snapToGrid/>
        <w:spacing w:line="420" w:lineRule="exact"/>
        <w:ind w:right="431" w:firstLine="1100" w:firstLineChars="5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物业构成明细</w:t>
      </w:r>
    </w:p>
    <w:p>
      <w:pPr>
        <w:pStyle w:val="3"/>
        <w:keepNext w:val="0"/>
        <w:keepLines w:val="0"/>
        <w:pageBreakBefore w:val="0"/>
        <w:widowControl w:val="0"/>
        <w:numPr>
          <w:ilvl w:val="0"/>
          <w:numId w:val="8"/>
        </w:numPr>
        <w:kinsoku/>
        <w:wordWrap/>
        <w:overflowPunct/>
        <w:topLinePunct w:val="0"/>
        <w:autoSpaceDE w:val="0"/>
        <w:autoSpaceDN w:val="0"/>
        <w:bidi w:val="0"/>
        <w:adjustRightInd/>
        <w:snapToGrid/>
        <w:spacing w:line="420" w:lineRule="exact"/>
        <w:ind w:right="431" w:firstLine="1100" w:firstLineChars="5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物业共用部位明细</w:t>
      </w:r>
    </w:p>
    <w:p>
      <w:pPr>
        <w:pStyle w:val="3"/>
        <w:keepNext w:val="0"/>
        <w:keepLines w:val="0"/>
        <w:pageBreakBefore w:val="0"/>
        <w:widowControl w:val="0"/>
        <w:numPr>
          <w:ilvl w:val="0"/>
          <w:numId w:val="8"/>
        </w:numPr>
        <w:kinsoku/>
        <w:wordWrap/>
        <w:overflowPunct/>
        <w:topLinePunct w:val="0"/>
        <w:autoSpaceDE w:val="0"/>
        <w:autoSpaceDN w:val="0"/>
        <w:bidi w:val="0"/>
        <w:adjustRightInd/>
        <w:snapToGrid/>
        <w:spacing w:line="420" w:lineRule="exact"/>
        <w:ind w:right="431" w:firstLine="1100" w:firstLineChars="5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物业共用设施设备明细</w:t>
      </w:r>
    </w:p>
    <w:p>
      <w:pPr>
        <w:pStyle w:val="3"/>
        <w:keepNext w:val="0"/>
        <w:keepLines w:val="0"/>
        <w:pageBreakBefore w:val="0"/>
        <w:widowControl w:val="0"/>
        <w:numPr>
          <w:ilvl w:val="0"/>
          <w:numId w:val="8"/>
        </w:numPr>
        <w:kinsoku/>
        <w:wordWrap/>
        <w:overflowPunct/>
        <w:topLinePunct w:val="0"/>
        <w:autoSpaceDE w:val="0"/>
        <w:autoSpaceDN w:val="0"/>
        <w:bidi w:val="0"/>
        <w:adjustRightInd/>
        <w:snapToGrid/>
        <w:spacing w:line="420" w:lineRule="exact"/>
        <w:ind w:right="431" w:firstLine="1100" w:firstLineChars="5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前期物业服务质量</w:t>
      </w:r>
    </w:p>
    <w:p>
      <w:pPr>
        <w:pStyle w:val="3"/>
        <w:keepNext w:val="0"/>
        <w:keepLines w:val="0"/>
        <w:pageBreakBefore w:val="0"/>
        <w:widowControl w:val="0"/>
        <w:numPr>
          <w:ilvl w:val="0"/>
          <w:numId w:val="8"/>
        </w:numPr>
        <w:kinsoku/>
        <w:wordWrap/>
        <w:overflowPunct/>
        <w:topLinePunct w:val="0"/>
        <w:autoSpaceDE w:val="0"/>
        <w:autoSpaceDN w:val="0"/>
        <w:bidi w:val="0"/>
        <w:adjustRightInd/>
        <w:snapToGrid/>
        <w:spacing w:line="420" w:lineRule="exact"/>
        <w:ind w:right="431" w:firstLine="1100" w:firstLineChars="5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物业服务用房平面图及说明</w:t>
      </w:r>
    </w:p>
    <w:p>
      <w:pPr>
        <w:pStyle w:val="3"/>
        <w:keepNext w:val="0"/>
        <w:keepLines w:val="0"/>
        <w:pageBreakBefore w:val="0"/>
        <w:widowControl w:val="0"/>
        <w:numPr>
          <w:numId w:val="0"/>
        </w:numPr>
        <w:kinsoku/>
        <w:wordWrap/>
        <w:overflowPunct/>
        <w:topLinePunct w:val="0"/>
        <w:autoSpaceDE w:val="0"/>
        <w:autoSpaceDN w:val="0"/>
        <w:bidi w:val="0"/>
        <w:adjustRightInd/>
        <w:snapToGrid/>
        <w:spacing w:line="420" w:lineRule="exact"/>
        <w:ind w:right="431" w:rightChars="0"/>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220" w:firstLineChars="1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甲方(盖章)</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乙方(盖章)</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220" w:firstLineChars="1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法定代表人（负责人）</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220" w:firstLineChars="1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授权委托人(代理人)</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授权委托人(代理人)</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1" w:firstLine="220" w:firstLineChars="100"/>
        <w:textAlignment w:val="auto"/>
        <w:rPr>
          <w:rFonts w:hint="eastAsia" w:ascii="黑体" w:hAnsi="黑体" w:eastAsia="黑体" w:cs="黑体"/>
        </w:rPr>
      </w:pP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日</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日</w:t>
      </w:r>
    </w:p>
    <w:p>
      <w:pPr>
        <w:pStyle w:val="3"/>
        <w:spacing w:before="69" w:line="520" w:lineRule="exact"/>
        <w:ind w:right="430"/>
        <w:rPr>
          <w:rFonts w:ascii="黑体" w:hAnsi="黑体" w:eastAsia="黑体" w:cs="黑体"/>
          <w:lang w:val="en-US"/>
        </w:rPr>
      </w:pPr>
      <w:r>
        <w:rPr>
          <w:rFonts w:hint="eastAsia" w:ascii="黑体" w:hAnsi="黑体" w:eastAsia="黑体" w:cs="黑体"/>
        </w:rPr>
        <w:t>附件</w:t>
      </w:r>
      <w:r>
        <w:rPr>
          <w:rFonts w:hint="eastAsia" w:ascii="黑体" w:hAnsi="黑体" w:eastAsia="黑体" w:cs="黑体"/>
          <w:lang w:val="en-US"/>
        </w:rPr>
        <w:t>1：规划平面图</w:t>
      </w:r>
    </w:p>
    <w:p>
      <w:pPr>
        <w:pStyle w:val="3"/>
        <w:spacing w:before="69" w:line="520" w:lineRule="exact"/>
        <w:ind w:right="430"/>
        <w:rPr>
          <w:rFonts w:ascii="黑体" w:hAnsi="黑体" w:eastAsia="黑体" w:cs="黑体"/>
          <w:lang w:val="en-US"/>
        </w:rPr>
      </w:pPr>
      <w:r>
        <w:rPr>
          <w:rFonts w:hint="eastAsia" w:ascii="黑体" w:hAnsi="黑体" w:eastAsia="黑体" w:cs="黑体"/>
          <w:lang w:val="en-US"/>
        </w:rPr>
        <w:t>附件2：</w:t>
      </w:r>
    </w:p>
    <w:p>
      <w:pPr>
        <w:pStyle w:val="3"/>
        <w:numPr>
          <w:ilvl w:val="0"/>
          <w:numId w:val="0"/>
        </w:numPr>
        <w:tabs>
          <w:tab w:val="left" w:pos="1281"/>
        </w:tabs>
        <w:spacing w:line="520" w:lineRule="exact"/>
        <w:ind w:right="320" w:rightChars="0"/>
        <w:jc w:val="center"/>
        <w:rPr>
          <w:rFonts w:hint="eastAsia" w:ascii="方正黑体_GBK" w:hAnsi="方正黑体_GBK" w:eastAsia="方正黑体_GBK" w:cs="方正黑体_GBK"/>
          <w:sz w:val="28"/>
          <w:szCs w:val="28"/>
          <w:lang w:val="en-US" w:eastAsia="zh-CN"/>
        </w:rPr>
      </w:pPr>
      <w:r>
        <w:rPr>
          <w:rFonts w:hint="eastAsia" w:ascii="方正黑体_GBK" w:hAnsi="方正黑体_GBK" w:eastAsia="方正黑体_GBK" w:cs="方正黑体_GBK"/>
          <w:sz w:val="28"/>
          <w:szCs w:val="28"/>
          <w:lang w:val="en-US" w:eastAsia="zh-CN"/>
        </w:rPr>
        <w:t>物业构成明细</w:t>
      </w:r>
    </w:p>
    <w:tbl>
      <w:tblPr>
        <w:tblStyle w:val="8"/>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1"/>
        <w:gridCol w:w="2075"/>
        <w:gridCol w:w="2728"/>
        <w:gridCol w:w="2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vAlign w:val="center"/>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类型</w:t>
            </w:r>
          </w:p>
        </w:tc>
        <w:tc>
          <w:tcPr>
            <w:tcW w:w="2075" w:type="dxa"/>
            <w:vAlign w:val="center"/>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幢数</w:t>
            </w:r>
          </w:p>
        </w:tc>
        <w:tc>
          <w:tcPr>
            <w:tcW w:w="2728" w:type="dxa"/>
            <w:vAlign w:val="center"/>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套（单元）数</w:t>
            </w:r>
          </w:p>
        </w:tc>
        <w:tc>
          <w:tcPr>
            <w:tcW w:w="2402" w:type="dxa"/>
            <w:vAlign w:val="center"/>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建筑面积（平方米）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高层住宅</w:t>
            </w: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多层住宅</w:t>
            </w: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别墅</w:t>
            </w: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商业用房</w:t>
            </w: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办公楼</w:t>
            </w: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车库</w:t>
            </w: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会所</w:t>
            </w: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w:t>
            </w: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合计</w:t>
            </w: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1"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备注</w:t>
            </w:r>
          </w:p>
        </w:tc>
        <w:tc>
          <w:tcPr>
            <w:tcW w:w="2075"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520" w:lineRule="exact"/>
              <w:ind w:right="430"/>
              <w:jc w:val="center"/>
              <w:rPr>
                <w:rFonts w:hint="eastAsia" w:ascii="方正书宋_GBK" w:hAnsi="方正书宋_GBK" w:eastAsia="方正书宋_GBK" w:cs="方正书宋_GBK"/>
                <w:sz w:val="18"/>
                <w:szCs w:val="18"/>
                <w:lang w:val="en-US"/>
              </w:rPr>
            </w:pPr>
          </w:p>
        </w:tc>
      </w:tr>
    </w:tbl>
    <w:p>
      <w:pPr>
        <w:pStyle w:val="3"/>
        <w:spacing w:before="69" w:line="520" w:lineRule="exact"/>
        <w:ind w:right="430"/>
        <w:jc w:val="center"/>
        <w:rPr>
          <w:rFonts w:hint="eastAsia" w:ascii="方正书宋_GBK" w:hAnsi="方正书宋_GBK" w:eastAsia="方正书宋_GBK" w:cs="方正书宋_GBK"/>
          <w:sz w:val="18"/>
          <w:szCs w:val="18"/>
          <w:lang w:val="en-US"/>
        </w:rPr>
      </w:pPr>
    </w:p>
    <w:p>
      <w:pPr>
        <w:pStyle w:val="3"/>
        <w:spacing w:before="69" w:line="520" w:lineRule="exact"/>
        <w:ind w:right="430"/>
        <w:rPr>
          <w:rFonts w:hint="eastAsia"/>
        </w:rPr>
      </w:pPr>
    </w:p>
    <w:p>
      <w:pPr>
        <w:pStyle w:val="3"/>
        <w:spacing w:before="69" w:line="520" w:lineRule="exact"/>
        <w:ind w:right="430"/>
      </w:pPr>
    </w:p>
    <w:p>
      <w:pPr>
        <w:pStyle w:val="3"/>
        <w:spacing w:before="69" w:line="520" w:lineRule="exact"/>
        <w:ind w:right="430"/>
      </w:pPr>
    </w:p>
    <w:p>
      <w:pPr>
        <w:pStyle w:val="3"/>
        <w:spacing w:before="69" w:line="520" w:lineRule="exact"/>
        <w:ind w:right="430"/>
        <w:rPr>
          <w:rFonts w:ascii="黑体" w:hAnsi="黑体" w:eastAsia="黑体" w:cs="黑体"/>
        </w:rPr>
      </w:pPr>
      <w:r>
        <w:rPr>
          <w:rFonts w:hint="eastAsia" w:ascii="黑体" w:hAnsi="黑体" w:eastAsia="黑体" w:cs="黑体"/>
        </w:rPr>
        <w:t>附件3：</w:t>
      </w:r>
    </w:p>
    <w:p>
      <w:pPr>
        <w:pStyle w:val="3"/>
        <w:numPr>
          <w:ilvl w:val="0"/>
          <w:numId w:val="0"/>
        </w:numPr>
        <w:tabs>
          <w:tab w:val="left" w:pos="1281"/>
        </w:tabs>
        <w:spacing w:line="520" w:lineRule="exact"/>
        <w:ind w:right="320" w:rightChars="0"/>
        <w:jc w:val="center"/>
        <w:rPr>
          <w:rFonts w:hint="eastAsia" w:ascii="方正黑体_GBK" w:hAnsi="方正黑体_GBK" w:eastAsia="方正黑体_GBK" w:cs="方正黑体_GBK"/>
          <w:sz w:val="28"/>
          <w:szCs w:val="28"/>
          <w:lang w:eastAsia="zh-CN"/>
        </w:rPr>
      </w:pPr>
      <w:r>
        <w:rPr>
          <w:rFonts w:hint="eastAsia" w:ascii="方正黑体_GBK" w:hAnsi="方正黑体_GBK" w:eastAsia="方正黑体_GBK" w:cs="方正黑体_GBK"/>
          <w:sz w:val="28"/>
          <w:szCs w:val="28"/>
          <w:lang w:eastAsia="zh-CN"/>
        </w:rPr>
        <w:t>物业共用部位明细</w:t>
      </w:r>
    </w:p>
    <w:p>
      <w:pPr>
        <w:pStyle w:val="3"/>
        <w:numPr>
          <w:ilvl w:val="0"/>
          <w:numId w:val="0"/>
        </w:numPr>
        <w:tabs>
          <w:tab w:val="left" w:pos="1281"/>
        </w:tabs>
        <w:spacing w:line="520" w:lineRule="exact"/>
        <w:ind w:right="320" w:rightChars="0"/>
        <w:jc w:val="center"/>
        <w:rPr>
          <w:rFonts w:hint="eastAsia" w:ascii="方正书宋_GBK" w:hAnsi="方正书宋_GBK" w:eastAsia="方正书宋_GBK" w:cs="方正书宋_GBK"/>
          <w:sz w:val="22"/>
          <w:szCs w:val="22"/>
        </w:rPr>
      </w:pPr>
    </w:p>
    <w:p>
      <w:pPr>
        <w:pStyle w:val="3"/>
        <w:spacing w:before="69" w:line="520" w:lineRule="exact"/>
        <w:ind w:right="43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1、房屋承重结构；</w:t>
      </w:r>
    </w:p>
    <w:p>
      <w:pPr>
        <w:pStyle w:val="3"/>
        <w:spacing w:before="69" w:line="520" w:lineRule="exact"/>
        <w:ind w:right="43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2、房屋主体结构；</w:t>
      </w:r>
    </w:p>
    <w:p>
      <w:pPr>
        <w:pStyle w:val="3"/>
        <w:spacing w:before="69" w:line="520" w:lineRule="exact"/>
        <w:ind w:right="43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3、公共门厅；</w:t>
      </w:r>
    </w:p>
    <w:p>
      <w:pPr>
        <w:pStyle w:val="3"/>
        <w:spacing w:before="69" w:line="520" w:lineRule="exact"/>
        <w:ind w:right="43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4、公共走廊；</w:t>
      </w:r>
    </w:p>
    <w:p>
      <w:pPr>
        <w:pStyle w:val="3"/>
        <w:spacing w:before="69" w:line="520" w:lineRule="exact"/>
        <w:ind w:right="43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5、公共楼梯间；</w:t>
      </w:r>
    </w:p>
    <w:p>
      <w:pPr>
        <w:pStyle w:val="3"/>
        <w:spacing w:before="69" w:line="520" w:lineRule="exact"/>
        <w:ind w:right="43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6、内天井；</w:t>
      </w:r>
    </w:p>
    <w:p>
      <w:pPr>
        <w:pStyle w:val="3"/>
        <w:spacing w:before="69" w:line="520" w:lineRule="exact"/>
        <w:ind w:right="43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7、户外墙面；</w:t>
      </w:r>
    </w:p>
    <w:p>
      <w:pPr>
        <w:pStyle w:val="3"/>
        <w:spacing w:before="69" w:line="520" w:lineRule="exact"/>
        <w:ind w:right="43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8、屋面；</w:t>
      </w:r>
    </w:p>
    <w:p>
      <w:pPr>
        <w:pStyle w:val="3"/>
        <w:spacing w:before="69" w:line="520" w:lineRule="exact"/>
        <w:ind w:right="43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9、传达室；</w:t>
      </w:r>
    </w:p>
    <w:p>
      <w:pPr>
        <w:pStyle w:val="3"/>
        <w:spacing w:before="69" w:line="520" w:lineRule="exact"/>
        <w:ind w:right="430"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10、</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spacing w:before="69" w:line="520" w:lineRule="exact"/>
        <w:ind w:right="430" w:firstLine="640" w:firstLineChars="200"/>
        <w:rPr>
          <w:lang w:val="en-US"/>
        </w:rPr>
      </w:pPr>
    </w:p>
    <w:p>
      <w:pPr>
        <w:pStyle w:val="3"/>
        <w:spacing w:before="69" w:line="520" w:lineRule="exact"/>
        <w:ind w:right="430" w:firstLine="640" w:firstLineChars="200"/>
        <w:rPr>
          <w:lang w:val="en-US"/>
        </w:rPr>
      </w:pPr>
    </w:p>
    <w:p>
      <w:pPr>
        <w:pStyle w:val="3"/>
        <w:spacing w:before="69" w:line="520" w:lineRule="exact"/>
        <w:ind w:right="430" w:firstLine="640" w:firstLineChars="200"/>
        <w:rPr>
          <w:lang w:val="en-US"/>
        </w:rPr>
      </w:pPr>
    </w:p>
    <w:p>
      <w:pPr>
        <w:pStyle w:val="3"/>
        <w:spacing w:before="69" w:line="520" w:lineRule="exact"/>
        <w:ind w:right="430" w:firstLine="640" w:firstLineChars="200"/>
        <w:rPr>
          <w:lang w:val="en-US"/>
        </w:rPr>
      </w:pPr>
    </w:p>
    <w:p>
      <w:pPr>
        <w:pStyle w:val="3"/>
        <w:spacing w:before="69" w:line="520" w:lineRule="exact"/>
        <w:ind w:right="430" w:firstLine="640" w:firstLineChars="200"/>
        <w:rPr>
          <w:lang w:val="en-US"/>
        </w:rPr>
      </w:pPr>
    </w:p>
    <w:p>
      <w:pPr>
        <w:pStyle w:val="3"/>
        <w:spacing w:before="69" w:line="520" w:lineRule="exact"/>
        <w:ind w:right="430" w:firstLine="640" w:firstLineChars="200"/>
        <w:rPr>
          <w:lang w:val="en-US"/>
        </w:rPr>
      </w:pPr>
    </w:p>
    <w:p>
      <w:pPr>
        <w:pStyle w:val="3"/>
        <w:spacing w:before="69" w:line="520" w:lineRule="exact"/>
        <w:ind w:right="430" w:firstLine="640" w:firstLineChars="200"/>
        <w:rPr>
          <w:lang w:val="en-US"/>
        </w:rPr>
      </w:pPr>
    </w:p>
    <w:p>
      <w:pPr>
        <w:pStyle w:val="3"/>
        <w:spacing w:before="69" w:line="520" w:lineRule="exact"/>
        <w:ind w:right="430"/>
        <w:rPr>
          <w:lang w:val="en-US"/>
        </w:rPr>
      </w:pPr>
    </w:p>
    <w:p>
      <w:pPr>
        <w:pStyle w:val="3"/>
        <w:spacing w:before="69" w:line="520" w:lineRule="exact"/>
        <w:ind w:right="430"/>
        <w:rPr>
          <w:rFonts w:hint="eastAsia"/>
          <w:lang w:val="en-US"/>
        </w:rPr>
      </w:pPr>
    </w:p>
    <w:p>
      <w:pPr>
        <w:pStyle w:val="3"/>
        <w:spacing w:before="69" w:line="520" w:lineRule="exact"/>
        <w:ind w:right="430"/>
        <w:rPr>
          <w:lang w:val="en-US"/>
        </w:rPr>
      </w:pPr>
    </w:p>
    <w:p>
      <w:pPr>
        <w:pStyle w:val="3"/>
        <w:spacing w:before="69" w:line="500" w:lineRule="exact"/>
        <w:ind w:right="431"/>
        <w:rPr>
          <w:rFonts w:ascii="黑体" w:hAnsi="黑体" w:eastAsia="黑体" w:cs="黑体"/>
          <w:lang w:val="en-US"/>
        </w:rPr>
      </w:pPr>
      <w:r>
        <w:rPr>
          <w:rFonts w:hint="eastAsia" w:ascii="黑体" w:hAnsi="黑体" w:eastAsia="黑体" w:cs="黑体"/>
          <w:lang w:val="en-US"/>
        </w:rPr>
        <w:t>附件4：</w:t>
      </w:r>
    </w:p>
    <w:p>
      <w:pPr>
        <w:pStyle w:val="3"/>
        <w:numPr>
          <w:ilvl w:val="0"/>
          <w:numId w:val="0"/>
        </w:numPr>
        <w:tabs>
          <w:tab w:val="left" w:pos="1281"/>
        </w:tabs>
        <w:spacing w:line="520" w:lineRule="exact"/>
        <w:ind w:right="320" w:rightChars="0"/>
        <w:jc w:val="center"/>
        <w:rPr>
          <w:rFonts w:hint="eastAsia" w:ascii="方正黑体_GBK" w:hAnsi="方正黑体_GBK" w:eastAsia="方正黑体_GBK" w:cs="方正黑体_GBK"/>
          <w:sz w:val="28"/>
          <w:szCs w:val="28"/>
          <w:lang w:val="en-US" w:eastAsia="zh-CN"/>
        </w:rPr>
      </w:pPr>
      <w:r>
        <w:rPr>
          <w:rFonts w:hint="eastAsia" w:ascii="方正黑体_GBK" w:hAnsi="方正黑体_GBK" w:eastAsia="方正黑体_GBK" w:cs="方正黑体_GBK"/>
          <w:sz w:val="28"/>
          <w:szCs w:val="28"/>
          <w:lang w:val="en-US" w:eastAsia="zh-CN"/>
        </w:rPr>
        <w:t>物业共用设施设备明细</w:t>
      </w:r>
    </w:p>
    <w:p>
      <w:pPr>
        <w:pStyle w:val="3"/>
        <w:spacing w:before="69" w:line="500" w:lineRule="exact"/>
        <w:ind w:right="431"/>
        <w:rPr>
          <w:lang w:val="en-US"/>
        </w:rPr>
      </w:pPr>
      <w:r>
        <w:rPr>
          <w:rFonts w:hint="eastAsia"/>
          <w:lang w:val="en-US"/>
        </w:rPr>
        <w:t xml:space="preserve">    </w:t>
      </w:r>
    </w:p>
    <w:p>
      <w:pPr>
        <w:pStyle w:val="3"/>
        <w:numPr>
          <w:ilvl w:val="0"/>
          <w:numId w:val="9"/>
        </w:numPr>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绿地</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平方米；</w:t>
      </w:r>
    </w:p>
    <w:p>
      <w:pPr>
        <w:pStyle w:val="3"/>
        <w:numPr>
          <w:ilvl w:val="0"/>
          <w:numId w:val="9"/>
        </w:numPr>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道路</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平方米；</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3、化粪池</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4</w:t>
      </w:r>
      <w:r>
        <w:rPr>
          <w:rFonts w:hint="eastAsia" w:ascii="方正书宋_GBK" w:hAnsi="方正书宋_GBK" w:eastAsia="方正书宋_GBK" w:cs="方正书宋_GBK"/>
          <w:sz w:val="22"/>
          <w:szCs w:val="22"/>
        </w:rPr>
        <w:t>、垃圾中转站</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5、水泵</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6、水箱</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7、电梯</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部；</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8、信报箱</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9、消防设施</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10、公共照明设施</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11、监控设施</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12、避雷设施</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13、共用天线</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14、污水井</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15、雨水井</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16、机动车库</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平方米；</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17、露天停车场</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平方米；</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18、非机动车库</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平方米；</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19、共用设施设备用房</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平方米；</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20、物业服务用房</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平方米；</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21、</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spacing w:before="69" w:line="520" w:lineRule="exact"/>
        <w:ind w:right="430"/>
        <w:rPr>
          <w:lang w:val="en-US"/>
        </w:rPr>
      </w:pPr>
    </w:p>
    <w:p>
      <w:pPr>
        <w:pStyle w:val="3"/>
        <w:spacing w:before="69" w:line="520" w:lineRule="exact"/>
        <w:ind w:right="430"/>
        <w:rPr>
          <w:lang w:val="en-US"/>
        </w:rPr>
      </w:pPr>
      <w:r>
        <w:rPr>
          <w:rFonts w:hint="eastAsia" w:ascii="黑体" w:hAnsi="黑体" w:eastAsia="黑体" w:cs="黑体"/>
          <w:lang w:val="en-US"/>
        </w:rPr>
        <w:t>附件5</w:t>
      </w:r>
      <w:r>
        <w:rPr>
          <w:rFonts w:hint="eastAsia" w:ascii="方正黑体_GBK" w:hAnsi="方正黑体_GBK" w:eastAsia="方正黑体_GBK" w:cs="方正黑体_GBK"/>
          <w:sz w:val="28"/>
          <w:szCs w:val="28"/>
          <w:lang w:val="en-US" w:eastAsia="zh-CN"/>
        </w:rPr>
        <w:t>：前期物业服务质量</w:t>
      </w:r>
    </w:p>
    <w:p>
      <w:pPr>
        <w:pStyle w:val="3"/>
        <w:spacing w:before="69" w:line="520" w:lineRule="exact"/>
        <w:ind w:right="430"/>
        <w:rPr>
          <w:rFonts w:hint="eastAsia" w:ascii="方正黑体_GBK" w:hAnsi="方正黑体_GBK" w:eastAsia="方正黑体_GBK" w:cs="方正黑体_GBK"/>
          <w:sz w:val="28"/>
          <w:szCs w:val="28"/>
          <w:lang w:val="en-US" w:eastAsia="zh-CN"/>
        </w:rPr>
      </w:pPr>
      <w:r>
        <w:rPr>
          <w:rFonts w:hint="eastAsia" w:ascii="黑体" w:hAnsi="黑体" w:eastAsia="黑体" w:cs="黑体"/>
          <w:lang w:val="en-US"/>
        </w:rPr>
        <w:t>附件6：</w:t>
      </w:r>
      <w:r>
        <w:rPr>
          <w:rFonts w:hint="eastAsia" w:ascii="方正黑体_GBK" w:hAnsi="方正黑体_GBK" w:eastAsia="方正黑体_GBK" w:cs="方正黑体_GBK"/>
          <w:sz w:val="28"/>
          <w:szCs w:val="28"/>
          <w:lang w:val="en-US" w:eastAsia="zh-CN"/>
        </w:rPr>
        <w:t>物业服务用房平面图及说明</w:t>
      </w:r>
    </w:p>
    <w:p>
      <w:pPr>
        <w:pStyle w:val="3"/>
        <w:spacing w:before="69" w:line="520" w:lineRule="exact"/>
        <w:ind w:right="430"/>
      </w:pPr>
    </w:p>
    <w:sectPr>
      <w:footerReference r:id="rId3" w:type="default"/>
      <w:pgSz w:w="11910" w:h="16840"/>
      <w:pgMar w:top="1580" w:right="1100" w:bottom="1380" w:left="1420" w:header="0" w:footer="118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10" w:usb3="00000000" w:csb0="00040000" w:csb1="00000000"/>
  </w:font>
  <w:font w:name="Arial Unicode MS">
    <w:altName w:val="DejaVu Sans"/>
    <w:panose1 w:val="020B0604020202020204"/>
    <w:charset w:val="86"/>
    <w:family w:val="swiss"/>
    <w:pitch w:val="default"/>
    <w:sig w:usb0="00000000" w:usb1="00000000" w:usb2="0000003F" w:usb3="00000000" w:csb0="003F01FF" w:csb1="00000000"/>
  </w:font>
  <w:font w:name="Arial">
    <w:altName w:val="DejaVu Sans"/>
    <w:panose1 w:val="020B0604020202020204"/>
    <w:charset w:val="00"/>
    <w:family w:val="swiss"/>
    <w:pitch w:val="default"/>
    <w:sig w:usb0="00000000" w:usb1="00000000" w:usb2="00000009" w:usb3="00000000" w:csb0="000001FF" w:csb1="00000000"/>
  </w:font>
  <w:font w:name="楷体_GB2312">
    <w:altName w:val="方正楷体_GBK"/>
    <w:panose1 w:val="02010609030101010101"/>
    <w:charset w:val="86"/>
    <w:family w:val="modern"/>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4098" o:spid="_x0000_s4098" o:spt="202" type="#_x0000_t202" style="position:absolute;left:0pt;margin-left:289.15pt;margin-top:771.6pt;height:12pt;width:16.9pt;mso-position-horizontal-relative:page;mso-position-vertical-relative:page;z-index:-251658240;mso-width-relative:page;mso-height-relative:page;" filled="f" stroked="f" coordsize="21600,21600">
          <v:path/>
          <v:fill on="f" focussize="0,0"/>
          <v:stroke on="f" joinstyle="miter"/>
          <v:imagedata o:title=""/>
          <o:lock v:ext="edit"/>
          <v:textbox inset="0mm,0mm,0mm,0mm">
            <w:txbxContent>
              <w:p>
                <w:pPr>
                  <w:spacing w:before="12"/>
                  <w:ind w:left="20"/>
                  <w:rPr>
                    <w:rFonts w:ascii="Times New Roman"/>
                    <w:sz w:val="18"/>
                  </w:rPr>
                </w:pPr>
                <w:r>
                  <w:rPr>
                    <w:rFonts w:ascii="Times New Roman"/>
                    <w:sz w:val="18"/>
                  </w:rPr>
                  <w:t xml:space="preserve">- </w:t>
                </w:r>
                <w:r>
                  <w:fldChar w:fldCharType="begin"/>
                </w:r>
                <w:r>
                  <w:rPr>
                    <w:rFonts w:ascii="Times New Roman"/>
                    <w:sz w:val="18"/>
                  </w:rPr>
                  <w:instrText xml:space="preserve"> PAGE </w:instrText>
                </w:r>
                <w:r>
                  <w:fldChar w:fldCharType="separate"/>
                </w:r>
                <w:r>
                  <w:rPr>
                    <w:rFonts w:ascii="Times New Roman"/>
                    <w:sz w:val="18"/>
                  </w:rPr>
                  <w:t>4</w:t>
                </w:r>
                <w:r>
                  <w:fldChar w:fldCharType="end"/>
                </w:r>
                <w:r>
                  <w:rPr>
                    <w:rFonts w:ascii="Times New Roman"/>
                    <w:sz w:val="18"/>
                  </w:rPr>
                  <w:t xml:space="preserve"> -</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C73A2D"/>
    <w:multiLevelType w:val="singleLevel"/>
    <w:tmpl w:val="C4C73A2D"/>
    <w:lvl w:ilvl="0" w:tentative="0">
      <w:start w:val="6"/>
      <w:numFmt w:val="chineseCounting"/>
      <w:suff w:val="space"/>
      <w:lvlText w:val="（%1）"/>
      <w:lvlJc w:val="left"/>
      <w:rPr>
        <w:rFonts w:hint="eastAsia"/>
      </w:rPr>
    </w:lvl>
  </w:abstractNum>
  <w:abstractNum w:abstractNumId="1">
    <w:nsid w:val="FBFFC92A"/>
    <w:multiLevelType w:val="singleLevel"/>
    <w:tmpl w:val="FBFFC92A"/>
    <w:lvl w:ilvl="0" w:tentative="0">
      <w:start w:val="2"/>
      <w:numFmt w:val="decimal"/>
      <w:suff w:val="nothing"/>
      <w:lvlText w:val="%1、"/>
      <w:lvlJc w:val="left"/>
    </w:lvl>
  </w:abstractNum>
  <w:abstractNum w:abstractNumId="2">
    <w:nsid w:val="FEF2BB91"/>
    <w:multiLevelType w:val="singleLevel"/>
    <w:tmpl w:val="FEF2BB91"/>
    <w:lvl w:ilvl="0" w:tentative="0">
      <w:start w:val="1"/>
      <w:numFmt w:val="decimal"/>
      <w:suff w:val="nothing"/>
      <w:lvlText w:val="（%1）"/>
      <w:lvlJc w:val="left"/>
    </w:lvl>
  </w:abstractNum>
  <w:abstractNum w:abstractNumId="3">
    <w:nsid w:val="19B2B516"/>
    <w:multiLevelType w:val="singleLevel"/>
    <w:tmpl w:val="19B2B516"/>
    <w:lvl w:ilvl="0" w:tentative="0">
      <w:start w:val="2"/>
      <w:numFmt w:val="decimal"/>
      <w:suff w:val="nothing"/>
      <w:lvlText w:val="%1、"/>
      <w:lvlJc w:val="left"/>
    </w:lvl>
  </w:abstractNum>
  <w:abstractNum w:abstractNumId="4">
    <w:nsid w:val="2EB8DE65"/>
    <w:multiLevelType w:val="singleLevel"/>
    <w:tmpl w:val="2EB8DE65"/>
    <w:lvl w:ilvl="0" w:tentative="0">
      <w:start w:val="3"/>
      <w:numFmt w:val="chineseCounting"/>
      <w:suff w:val="nothing"/>
      <w:lvlText w:val="（%1）"/>
      <w:lvlJc w:val="left"/>
      <w:rPr>
        <w:rFonts w:hint="eastAsia"/>
      </w:rPr>
    </w:lvl>
  </w:abstractNum>
  <w:abstractNum w:abstractNumId="5">
    <w:nsid w:val="30EBA6C5"/>
    <w:multiLevelType w:val="singleLevel"/>
    <w:tmpl w:val="30EBA6C5"/>
    <w:lvl w:ilvl="0" w:tentative="0">
      <w:start w:val="1"/>
      <w:numFmt w:val="decimal"/>
      <w:suff w:val="space"/>
      <w:lvlText w:val="（%1）"/>
      <w:lvlJc w:val="left"/>
    </w:lvl>
  </w:abstractNum>
  <w:abstractNum w:abstractNumId="6">
    <w:nsid w:val="452E9379"/>
    <w:multiLevelType w:val="singleLevel"/>
    <w:tmpl w:val="452E9379"/>
    <w:lvl w:ilvl="0" w:tentative="0">
      <w:start w:val="1"/>
      <w:numFmt w:val="decimal"/>
      <w:suff w:val="nothing"/>
      <w:lvlText w:val="%1、"/>
      <w:lvlJc w:val="left"/>
    </w:lvl>
  </w:abstractNum>
  <w:abstractNum w:abstractNumId="7">
    <w:nsid w:val="4AF639FC"/>
    <w:multiLevelType w:val="singleLevel"/>
    <w:tmpl w:val="4AF639FC"/>
    <w:lvl w:ilvl="0" w:tentative="0">
      <w:start w:val="2"/>
      <w:numFmt w:val="chineseCounting"/>
      <w:suff w:val="nothing"/>
      <w:lvlText w:val="（%1）"/>
      <w:lvlJc w:val="left"/>
      <w:rPr>
        <w:rFonts w:hint="eastAsia"/>
      </w:rPr>
    </w:lvl>
  </w:abstractNum>
  <w:abstractNum w:abstractNumId="8">
    <w:nsid w:val="5CAC18A0"/>
    <w:multiLevelType w:val="singleLevel"/>
    <w:tmpl w:val="5CAC18A0"/>
    <w:lvl w:ilvl="0" w:tentative="0">
      <w:start w:val="4"/>
      <w:numFmt w:val="decimal"/>
      <w:suff w:val="nothing"/>
      <w:lvlText w:val="%1、"/>
      <w:lvlJc w:val="left"/>
    </w:lvl>
  </w:abstractNum>
  <w:num w:numId="1">
    <w:abstractNumId w:val="8"/>
  </w:num>
  <w:num w:numId="2">
    <w:abstractNumId w:val="5"/>
  </w:num>
  <w:num w:numId="3">
    <w:abstractNumId w:val="2"/>
  </w:num>
  <w:num w:numId="4">
    <w:abstractNumId w:val="1"/>
  </w:num>
  <w:num w:numId="5">
    <w:abstractNumId w:val="0"/>
  </w:num>
  <w:num w:numId="6">
    <w:abstractNumId w:val="4"/>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true"/>
  <w:bordersDoNotSurroundFooter w:val="true"/>
  <w:documentProtection w:enforcement="0"/>
  <w:defaultTabStop w:val="720"/>
  <w:drawingGridHorizontalSpacing w:val="110"/>
  <w:noPunctuationKerning w:val="true"/>
  <w:characterSpacingControl w:val="doNotCompress"/>
  <w:hdrShapeDefaults>
    <o:shapelayout v:ext="edit">
      <o:idmap v:ext="edit" data="3,4"/>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FE54F8"/>
    <w:rsid w:val="00096E34"/>
    <w:rsid w:val="00116D33"/>
    <w:rsid w:val="001710BA"/>
    <w:rsid w:val="00221B36"/>
    <w:rsid w:val="003855CD"/>
    <w:rsid w:val="003F79CA"/>
    <w:rsid w:val="005021FF"/>
    <w:rsid w:val="005E63F3"/>
    <w:rsid w:val="00687F87"/>
    <w:rsid w:val="006E4CC6"/>
    <w:rsid w:val="008B433B"/>
    <w:rsid w:val="009158A1"/>
    <w:rsid w:val="00A00063"/>
    <w:rsid w:val="00B758C6"/>
    <w:rsid w:val="00B85370"/>
    <w:rsid w:val="00D30DAD"/>
    <w:rsid w:val="00EB2B06"/>
    <w:rsid w:val="00ED7BAF"/>
    <w:rsid w:val="00F0663F"/>
    <w:rsid w:val="00FB3577"/>
    <w:rsid w:val="00FE54F8"/>
    <w:rsid w:val="066913C0"/>
    <w:rsid w:val="06E4238F"/>
    <w:rsid w:val="0DF31562"/>
    <w:rsid w:val="10566964"/>
    <w:rsid w:val="1B5550ED"/>
    <w:rsid w:val="22BE086B"/>
    <w:rsid w:val="24EE2652"/>
    <w:rsid w:val="25140D40"/>
    <w:rsid w:val="2B330432"/>
    <w:rsid w:val="45DB29B7"/>
    <w:rsid w:val="4AF51A66"/>
    <w:rsid w:val="530C3B01"/>
    <w:rsid w:val="597707DB"/>
    <w:rsid w:val="6E964F6D"/>
    <w:rsid w:val="77955AA4"/>
    <w:rsid w:val="7BED692F"/>
    <w:rsid w:val="7BFE9D3C"/>
    <w:rsid w:val="8F37C97A"/>
    <w:rsid w:val="ADEFC98E"/>
    <w:rsid w:val="BF3E9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仿宋_GB2312" w:hAnsi="仿宋_GB2312" w:eastAsia="仿宋_GB2312" w:cs="仿宋_GB2312"/>
      <w:sz w:val="22"/>
      <w:szCs w:val="22"/>
      <w:lang w:val="zh-CN" w:eastAsia="zh-CN" w:bidi="zh-CN"/>
    </w:rPr>
  </w:style>
  <w:style w:type="paragraph" w:styleId="2">
    <w:name w:val="heading 1"/>
    <w:basedOn w:val="1"/>
    <w:next w:val="1"/>
    <w:qFormat/>
    <w:uiPriority w:val="1"/>
    <w:pPr>
      <w:spacing w:line="720" w:lineRule="exact"/>
      <w:ind w:right="317"/>
      <w:jc w:val="center"/>
      <w:outlineLvl w:val="0"/>
    </w:pPr>
    <w:rPr>
      <w:rFonts w:ascii="Arial Unicode MS" w:hAnsi="Arial Unicode MS" w:eastAsia="Arial Unicode MS" w:cs="Arial Unicode MS"/>
      <w:sz w:val="44"/>
      <w:szCs w:val="44"/>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1"/>
    <w:rPr>
      <w:sz w:val="32"/>
      <w:szCs w:val="32"/>
    </w:rPr>
  </w:style>
  <w:style w:type="paragraph" w:styleId="4">
    <w:name w:val="footer"/>
    <w:basedOn w:val="1"/>
    <w:link w:val="18"/>
    <w:qFormat/>
    <w:uiPriority w:val="0"/>
    <w:pPr>
      <w:tabs>
        <w:tab w:val="center" w:pos="4153"/>
        <w:tab w:val="right" w:pos="8306"/>
      </w:tabs>
      <w:snapToGrid w:val="0"/>
    </w:pPr>
    <w:rPr>
      <w:sz w:val="18"/>
      <w:szCs w:val="18"/>
    </w:rPr>
  </w:style>
  <w:style w:type="paragraph" w:styleId="5">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Autospacing="1" w:afterAutospacing="1"/>
    </w:pPr>
    <w:rPr>
      <w:rFonts w:cs="Times New Roman"/>
      <w:sz w:val="24"/>
      <w:lang w:val="en-US" w:bidi="ar-SA"/>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FollowedHyperlink"/>
    <w:basedOn w:val="9"/>
    <w:qFormat/>
    <w:uiPriority w:val="0"/>
    <w:rPr>
      <w:color w:val="800080"/>
      <w:u w:val="none"/>
    </w:rPr>
  </w:style>
  <w:style w:type="character" w:styleId="11">
    <w:name w:val="Hyperlink"/>
    <w:basedOn w:val="9"/>
    <w:qFormat/>
    <w:uiPriority w:val="0"/>
    <w:rPr>
      <w:color w:val="000000"/>
      <w:u w:val="none"/>
    </w:rPr>
  </w:style>
  <w:style w:type="table" w:customStyle="1" w:styleId="12">
    <w:name w:val="Table Normal"/>
    <w:unhideWhenUsed/>
    <w:qFormat/>
    <w:uiPriority w:val="2"/>
    <w:tblPr>
      <w:tblCellMar>
        <w:top w:w="0" w:type="dxa"/>
        <w:left w:w="0" w:type="dxa"/>
        <w:bottom w:w="0" w:type="dxa"/>
        <w:right w:w="0" w:type="dxa"/>
      </w:tblCellMar>
    </w:tblPr>
  </w:style>
  <w:style w:type="paragraph" w:customStyle="1" w:styleId="13">
    <w:name w:val="列出段落1"/>
    <w:basedOn w:val="1"/>
    <w:qFormat/>
    <w:uiPriority w:val="1"/>
    <w:pPr>
      <w:ind w:left="111" w:firstLine="640"/>
    </w:pPr>
  </w:style>
  <w:style w:type="paragraph" w:customStyle="1" w:styleId="14">
    <w:name w:val="Table Paragraph"/>
    <w:basedOn w:val="1"/>
    <w:qFormat/>
    <w:uiPriority w:val="1"/>
  </w:style>
  <w:style w:type="paragraph" w:customStyle="1" w:styleId="15">
    <w:name w:val="_Style 12"/>
    <w:basedOn w:val="1"/>
    <w:next w:val="1"/>
    <w:qFormat/>
    <w:uiPriority w:val="0"/>
    <w:pPr>
      <w:pBdr>
        <w:bottom w:val="single" w:color="auto" w:sz="6" w:space="1"/>
      </w:pBdr>
      <w:jc w:val="center"/>
    </w:pPr>
    <w:rPr>
      <w:rFonts w:ascii="Arial" w:eastAsia="宋体"/>
      <w:vanish/>
      <w:sz w:val="16"/>
    </w:rPr>
  </w:style>
  <w:style w:type="paragraph" w:customStyle="1" w:styleId="16">
    <w:name w:val="_Style 13"/>
    <w:basedOn w:val="1"/>
    <w:next w:val="1"/>
    <w:qFormat/>
    <w:uiPriority w:val="0"/>
    <w:pPr>
      <w:pBdr>
        <w:top w:val="single" w:color="auto" w:sz="6" w:space="1"/>
      </w:pBdr>
      <w:jc w:val="center"/>
    </w:pPr>
    <w:rPr>
      <w:rFonts w:ascii="Arial" w:eastAsia="宋体"/>
      <w:vanish/>
      <w:sz w:val="16"/>
    </w:rPr>
  </w:style>
  <w:style w:type="character" w:customStyle="1" w:styleId="17">
    <w:name w:val="页眉 Char"/>
    <w:basedOn w:val="9"/>
    <w:link w:val="5"/>
    <w:qFormat/>
    <w:uiPriority w:val="0"/>
    <w:rPr>
      <w:rFonts w:ascii="仿宋_GB2312" w:hAnsi="仿宋_GB2312" w:eastAsia="仿宋_GB2312" w:cs="仿宋_GB2312"/>
      <w:sz w:val="18"/>
      <w:szCs w:val="18"/>
      <w:lang w:val="zh-CN" w:bidi="zh-CN"/>
    </w:rPr>
  </w:style>
  <w:style w:type="character" w:customStyle="1" w:styleId="18">
    <w:name w:val="页脚 Char"/>
    <w:basedOn w:val="9"/>
    <w:link w:val="4"/>
    <w:qFormat/>
    <w:uiPriority w:val="0"/>
    <w:rPr>
      <w:rFonts w:ascii="仿宋_GB2312" w:hAnsi="仿宋_GB2312" w:eastAsia="仿宋_GB2312" w:cs="仿宋_GB2312"/>
      <w:sz w:val="18"/>
      <w:szCs w:val="18"/>
      <w:lang w:val="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21</Pages>
  <Words>1450</Words>
  <Characters>8268</Characters>
  <Lines>68</Lines>
  <Paragraphs>19</Paragraphs>
  <TotalTime>104</TotalTime>
  <ScaleCrop>false</ScaleCrop>
  <LinksUpToDate>false</LinksUpToDate>
  <CharactersWithSpaces>9699</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2019-04-29T11:29:00Z</dcterms:created>
  <dc:creator>陈辉</dc:creator>
  <cp:lastModifiedBy>scjdglj</cp:lastModifiedBy>
  <cp:lastPrinted>2019-05-27T19:45:00Z</cp:lastPrinted>
  <dcterms:modified xsi:type="dcterms:W3CDTF">2022-02-18T15:35:18Z</dcterms:modified>
  <dc:title>我</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2018-10-16T00:00:00Z</vt:filetime>
  </property>
  <property fmtid="{D5CDD505-2E9C-101B-9397-08002B2CF9AE}" pid="3" name="Creator">
    <vt:lpwstr>WPS 文字</vt:lpwstr>
  </property>
  <property fmtid="{D5CDD505-2E9C-101B-9397-08002B2CF9AE}" pid="4" name="LastSaved">
    <vt:filetime>2018-12-10T00:00:00Z</vt:filetime>
  </property>
  <property fmtid="{D5CDD505-2E9C-101B-9397-08002B2CF9AE}" pid="5" name="KSOProductBuildVer">
    <vt:lpwstr>2052-11.8.2.10337</vt:lpwstr>
  </property>
</Properties>
</file>