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footer1.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napToGrid w:val="false"/>
        <w:spacing w:lineRule="auto" w:line="360"/>
        <w:rPr>
          <w:sz w:val="28"/>
          <w:szCs w:val="28"/>
        </w:rPr>
      </w:pPr>
      <w:r>
        <w:rPr>
          <w:sz w:val="28"/>
          <w:szCs w:val="28"/>
        </w:rPr>
        <w:t>JF-2009-008</w:t>
      </w:r>
    </w:p>
    <w:p>
      <w:pPr>
        <w:pStyle w:val="Normal"/>
        <w:snapToGrid w:val="false"/>
        <w:spacing w:lineRule="auto" w:line="360"/>
        <w:ind w:firstLine="420" w:end="0"/>
        <w:rPr>
          <w:sz w:val="28"/>
          <w:szCs w:val="21"/>
        </w:rPr>
      </w:pPr>
      <w:r>
        <w:rPr>
          <w:sz w:val="28"/>
          <w:szCs w:val="21"/>
        </w:rPr>
      </w:r>
    </w:p>
    <w:p>
      <w:pPr>
        <w:pStyle w:val="Normal"/>
        <w:snapToGrid w:val="false"/>
        <w:spacing w:lineRule="auto" w:line="360"/>
        <w:ind w:firstLine="420" w:end="0"/>
        <w:rPr>
          <w:szCs w:val="21"/>
        </w:rPr>
      </w:pPr>
      <w:r>
        <w:rPr>
          <w:szCs w:val="21"/>
        </w:rPr>
      </w:r>
    </w:p>
    <w:p>
      <w:pPr>
        <w:pStyle w:val="Normal"/>
        <w:snapToGrid w:val="false"/>
        <w:spacing w:lineRule="auto" w:line="360"/>
        <w:jc w:val="center"/>
        <w:rPr>
          <w:rFonts w:ascii="方正小标宋简体" w:hAnsi="方正小标宋简体" w:eastAsia="方正小标宋简体"/>
          <w:sz w:val="44"/>
          <w:szCs w:val="44"/>
        </w:rPr>
      </w:pPr>
      <w:r>
        <w:rPr>
          <w:rFonts w:ascii="方正小标宋_GBK" w:hAnsi="方正小标宋_GBK" w:cs="方正小标宋_GBK" w:eastAsia="方正小标宋_GBK"/>
          <w:sz w:val="40"/>
          <w:szCs w:val="40"/>
        </w:rPr>
        <w:t>天津市住宅物业服务合同</w:t>
      </w:r>
    </w:p>
    <w:p>
      <w:pPr>
        <w:pStyle w:val="Normal"/>
        <w:snapToGrid w:val="false"/>
        <w:spacing w:lineRule="auto" w:line="360"/>
        <w:ind w:firstLine="420" w:end="0"/>
        <w:rPr>
          <w:rFonts w:ascii="方正小标宋简体" w:hAnsi="方正小标宋简体" w:eastAsia="方正小标宋简体"/>
          <w:sz w:val="44"/>
          <w:szCs w:val="21"/>
        </w:rPr>
      </w:pPr>
      <w:r>
        <w:rPr>
          <w:rFonts w:eastAsia="方正小标宋简体" w:ascii="方正小标宋简体" w:hAnsi="方正小标宋简体"/>
          <w:sz w:val="44"/>
          <w:szCs w:val="21"/>
        </w:rPr>
      </w:r>
    </w:p>
    <w:p>
      <w:pPr>
        <w:pStyle w:val="Normal"/>
        <w:snapToGrid w:val="false"/>
        <w:spacing w:lineRule="auto" w:line="360"/>
        <w:ind w:firstLine="420" w:end="0"/>
        <w:rPr>
          <w:szCs w:val="21"/>
        </w:rPr>
      </w:pPr>
      <w:r>
        <w:rPr>
          <w:szCs w:val="21"/>
        </w:rPr>
      </w:r>
    </w:p>
    <w:p>
      <w:pPr>
        <w:pStyle w:val="Normal"/>
        <w:snapToGrid w:val="false"/>
        <w:spacing w:lineRule="auto" w:line="360"/>
        <w:ind w:firstLine="420" w:end="0"/>
        <w:rPr>
          <w:szCs w:val="21"/>
        </w:rPr>
      </w:pPr>
      <w:r>
        <w:rPr>
          <w:szCs w:val="21"/>
        </w:rPr>
      </w:r>
    </w:p>
    <w:p>
      <w:pPr>
        <w:pStyle w:val="Normal"/>
        <w:snapToGrid w:val="false"/>
        <w:spacing w:lineRule="auto" w:line="360"/>
        <w:ind w:firstLine="420" w:end="0"/>
        <w:rPr>
          <w:szCs w:val="21"/>
        </w:rPr>
      </w:pPr>
      <w:r>
        <w:rPr>
          <w:szCs w:val="21"/>
        </w:rPr>
      </w:r>
    </w:p>
    <w:p>
      <w:pPr>
        <w:pStyle w:val="Normal"/>
        <w:snapToGrid w:val="false"/>
        <w:spacing w:lineRule="auto" w:line="360"/>
        <w:ind w:firstLine="420" w:end="0"/>
        <w:rPr>
          <w:szCs w:val="21"/>
        </w:rPr>
      </w:pPr>
      <w:r>
        <w:rPr>
          <w:szCs w:val="21"/>
        </w:rPr>
      </w:r>
    </w:p>
    <w:p>
      <w:pPr>
        <w:pStyle w:val="Normal"/>
        <w:snapToGrid w:val="false"/>
        <w:spacing w:lineRule="auto" w:line="360"/>
        <w:ind w:firstLine="420" w:end="0"/>
        <w:rPr>
          <w:szCs w:val="21"/>
        </w:rPr>
      </w:pPr>
      <w:r>
        <w:rPr>
          <w:szCs w:val="21"/>
        </w:rPr>
      </w:r>
    </w:p>
    <w:p>
      <w:pPr>
        <w:pStyle w:val="Normal"/>
        <w:snapToGrid w:val="false"/>
        <w:spacing w:lineRule="auto" w:line="360"/>
        <w:ind w:firstLine="420" w:end="0"/>
        <w:rPr>
          <w:szCs w:val="21"/>
        </w:rPr>
      </w:pPr>
      <w:r>
        <w:rPr>
          <w:szCs w:val="21"/>
        </w:rPr>
      </w:r>
    </w:p>
    <w:p>
      <w:pPr>
        <w:pStyle w:val="Normal"/>
        <w:snapToGrid w:val="false"/>
        <w:spacing w:lineRule="auto" w:line="360"/>
        <w:ind w:firstLine="420" w:end="0"/>
        <w:rPr>
          <w:szCs w:val="21"/>
        </w:rPr>
      </w:pPr>
      <w:r>
        <w:rPr>
          <w:szCs w:val="21"/>
        </w:rPr>
      </w:r>
    </w:p>
    <w:p>
      <w:pPr>
        <w:pStyle w:val="Normal"/>
        <w:snapToGrid w:val="false"/>
        <w:spacing w:lineRule="auto" w:line="360"/>
        <w:ind w:firstLine="420" w:end="0"/>
        <w:rPr>
          <w:szCs w:val="21"/>
        </w:rPr>
      </w:pPr>
      <w:r>
        <w:rPr>
          <w:szCs w:val="21"/>
        </w:rPr>
      </w:r>
    </w:p>
    <w:p>
      <w:pPr>
        <w:pStyle w:val="Normal"/>
        <w:snapToGrid w:val="false"/>
        <w:spacing w:lineRule="auto" w:line="360"/>
        <w:rPr>
          <w:szCs w:val="21"/>
        </w:rPr>
      </w:pPr>
      <w:r>
        <w:rPr>
          <w:szCs w:val="21"/>
        </w:rPr>
      </w:r>
    </w:p>
    <w:p>
      <w:pPr>
        <w:pStyle w:val="Normal"/>
        <w:snapToGrid w:val="false"/>
        <w:spacing w:lineRule="auto" w:line="360"/>
        <w:ind w:firstLine="420" w:end="0"/>
        <w:rPr>
          <w:szCs w:val="21"/>
        </w:rPr>
      </w:pPr>
      <w:r>
        <w:rPr>
          <w:szCs w:val="21"/>
        </w:rPr>
      </w:r>
    </w:p>
    <w:p>
      <w:pPr>
        <w:pStyle w:val="Normal"/>
        <w:snapToGrid w:val="false"/>
        <w:spacing w:lineRule="auto" w:line="360"/>
        <w:ind w:firstLine="420" w:end="0"/>
        <w:rPr>
          <w:szCs w:val="21"/>
        </w:rPr>
      </w:pPr>
      <w:r>
        <w:rPr>
          <w:szCs w:val="21"/>
        </w:rPr>
      </w:r>
    </w:p>
    <w:p>
      <w:pPr>
        <w:pStyle w:val="Normal"/>
        <w:snapToGrid w:val="false"/>
        <w:spacing w:lineRule="auto" w:line="360"/>
        <w:ind w:firstLine="420" w:end="0"/>
        <w:rPr>
          <w:szCs w:val="21"/>
        </w:rPr>
      </w:pPr>
      <w:r>
        <w:rPr>
          <w:szCs w:val="21"/>
        </w:rPr>
      </w:r>
    </w:p>
    <w:p>
      <w:pPr>
        <w:pStyle w:val="Normal"/>
        <w:snapToGrid w:val="false"/>
        <w:spacing w:lineRule="auto" w:line="360"/>
        <w:ind w:firstLine="420" w:end="0"/>
        <w:rPr>
          <w:szCs w:val="21"/>
        </w:rPr>
      </w:pPr>
      <w:r>
        <w:rPr>
          <w:szCs w:val="21"/>
        </w:rPr>
      </w:r>
    </w:p>
    <w:p>
      <w:pPr>
        <w:pStyle w:val="Normal"/>
        <w:snapToGrid w:val="false"/>
        <w:spacing w:lineRule="auto" w:line="360"/>
        <w:ind w:firstLine="420" w:end="0"/>
        <w:rPr>
          <w:szCs w:val="21"/>
        </w:rPr>
      </w:pPr>
      <w:r>
        <w:rPr>
          <w:szCs w:val="21"/>
        </w:rPr>
      </w:r>
    </w:p>
    <w:p>
      <w:pPr>
        <w:pStyle w:val="Normal"/>
        <w:snapToGrid w:val="false"/>
        <w:spacing w:lineRule="auto" w:line="360"/>
        <w:ind w:start="1260" w:end="0"/>
        <w:rPr>
          <w:spacing w:val="40"/>
          <w:sz w:val="28"/>
          <w:szCs w:val="28"/>
        </w:rPr>
      </w:pPr>
      <w:r>
        <w:rPr>
          <w:spacing w:val="40"/>
          <w:sz w:val="28"/>
          <w:szCs w:val="28"/>
        </w:rPr>
        <w:t>天津市工商行政管理局</w:t>
      </w:r>
      <w:r>
        <mc:AlternateContent>
          <mc:Choice Requires="wps">
            <w:drawing>
              <wp:anchor behindDoc="0" distT="0" distB="0" distL="114935" distR="114935" simplePos="0" locked="0" layoutInCell="1" allowOverlap="1" relativeHeight="23">
                <wp:simplePos x="0" y="0"/>
                <wp:positionH relativeFrom="column">
                  <wp:posOffset>3162935</wp:posOffset>
                </wp:positionH>
                <wp:positionV relativeFrom="paragraph">
                  <wp:posOffset>107315</wp:posOffset>
                </wp:positionV>
                <wp:extent cx="666750" cy="367665"/>
                <wp:effectExtent l="0" t="0" r="0" b="0"/>
                <wp:wrapNone/>
                <wp:docPr id="1" name="Frame1"/>
                <a:graphic xmlns:a="http://schemas.openxmlformats.org/drawingml/2006/main">
                  <a:graphicData uri="http://schemas.microsoft.com/office/word/2010/wordprocessingShape">
                    <wps:wsp>
                      <wps:cNvSpPr txBox="1"/>
                      <wps:spPr>
                        <a:xfrm>
                          <a:off x="0" y="0"/>
                          <a:ext cx="666750" cy="367665"/>
                        </a:xfrm>
                        <a:prstGeom prst="rect"/>
                        <a:solidFill>
                          <a:srgbClr val="FFFFFF">
                            <a:alpha val="0"/>
                          </a:srgbClr>
                        </a:solidFill>
                      </wps:spPr>
                      <wps:txbx>
                        <w:txbxContent>
                          <w:p>
                            <w:pPr>
                              <w:pStyle w:val="Normal"/>
                              <w:tabs>
                                <w:tab w:val="clear" w:pos="420"/>
                                <w:tab w:val="left" w:pos="630" w:leader="none"/>
                              </w:tabs>
                              <w:snapToGrid w:val="false"/>
                              <w:rPr>
                                <w:rFonts w:cs="宋体"/>
                                <w:bCs/>
                                <w:sz w:val="30"/>
                                <w:szCs w:val="30"/>
                              </w:rPr>
                            </w:pPr>
                            <w:r>
                              <w:rPr>
                                <w:rFonts w:cs="宋体"/>
                                <w:bCs/>
                                <w:sz w:val="30"/>
                                <w:szCs w:val="30"/>
                              </w:rPr>
                              <w:t>监制</w:t>
                            </w:r>
                          </w:p>
                        </w:txbxContent>
                      </wps:txbx>
                      <wps:bodyPr anchor="t" lIns="92075" tIns="46355" rIns="92075" bIns="46355">
                        <a:noAutofit/>
                      </wps:bodyPr>
                    </wps:wsp>
                  </a:graphicData>
                </a:graphic>
              </wp:anchor>
            </w:drawing>
          </mc:Choice>
          <mc:Fallback>
            <w:pict>
              <v:rect fillcolor="#FFFFFF" style="position:absolute;rotation:-0;width:52.5pt;height:28.95pt;mso-wrap-distance-left:9.05pt;mso-wrap-distance-right:9.05pt;mso-wrap-distance-top:0pt;mso-wrap-distance-bottom:0pt;margin-top:8.45pt;mso-position-vertical-relative:text;margin-left:249.05pt;mso-position-horizontal-relative:text">
                <v:fill opacity="0f"/>
                <v:textbox inset="0.100694444444444in,0.0506944444444444in,0.100694444444444in,0.0506944444444444in">
                  <w:txbxContent>
                    <w:p>
                      <w:pPr>
                        <w:pStyle w:val="Normal"/>
                        <w:tabs>
                          <w:tab w:val="clear" w:pos="420"/>
                          <w:tab w:val="left" w:pos="630" w:leader="none"/>
                        </w:tabs>
                        <w:snapToGrid w:val="false"/>
                        <w:rPr>
                          <w:rFonts w:cs="宋体"/>
                          <w:bCs/>
                          <w:sz w:val="30"/>
                          <w:szCs w:val="30"/>
                        </w:rPr>
                      </w:pPr>
                      <w:r>
                        <w:rPr>
                          <w:rFonts w:cs="宋体"/>
                          <w:bCs/>
                          <w:sz w:val="30"/>
                          <w:szCs w:val="30"/>
                        </w:rPr>
                        <w:t>监制</w:t>
                      </w:r>
                    </w:p>
                  </w:txbxContent>
                </v:textbox>
                <w10:wrap type="none"/>
              </v:rect>
            </w:pict>
          </mc:Fallback>
        </mc:AlternateContent>
      </w:r>
    </w:p>
    <w:p>
      <w:pPr>
        <w:pStyle w:val="Normal"/>
        <w:snapToGrid w:val="false"/>
        <w:spacing w:lineRule="auto" w:line="360"/>
        <w:ind w:start="1260" w:end="0"/>
        <w:rPr>
          <w:sz w:val="28"/>
          <w:szCs w:val="28"/>
        </w:rPr>
      </w:pPr>
      <w:r>
        <w:rPr>
          <w:sz w:val="28"/>
          <w:szCs w:val="28"/>
        </w:rPr>
        <w:t>天津市国土资源和房屋管理局</w:t>
      </w:r>
    </w:p>
    <w:p>
      <w:pPr>
        <w:pStyle w:val="Normal"/>
        <w:snapToGrid w:val="false"/>
        <w:spacing w:lineRule="auto" w:line="360"/>
        <w:ind w:firstLine="420" w:end="0"/>
        <w:rPr>
          <w:sz w:val="28"/>
          <w:szCs w:val="21"/>
        </w:rPr>
      </w:pPr>
      <w:r>
        <w:rPr>
          <w:sz w:val="28"/>
          <w:szCs w:val="21"/>
        </w:rPr>
      </w:r>
    </w:p>
    <w:p>
      <w:pPr>
        <w:pStyle w:val="Normal"/>
        <w:snapToGrid w:val="false"/>
        <w:spacing w:lineRule="auto" w:line="360"/>
        <w:ind w:firstLine="420" w:end="0"/>
        <w:rPr>
          <w:szCs w:val="21"/>
        </w:rPr>
      </w:pPr>
      <w:r>
        <w:rPr>
          <w:szCs w:val="21"/>
        </w:rPr>
      </w:r>
    </w:p>
    <w:p>
      <w:pPr>
        <w:pStyle w:val="Normal"/>
        <w:snapToGrid w:val="false"/>
        <w:spacing w:lineRule="auto" w:line="360"/>
        <w:ind w:firstLine="420" w:end="0"/>
        <w:rPr>
          <w:szCs w:val="21"/>
        </w:rPr>
      </w:pPr>
      <w:r>
        <w:rPr>
          <w:szCs w:val="21"/>
        </w:rPr>
      </w:r>
    </w:p>
    <w:p>
      <w:pPr>
        <w:pStyle w:val="Normal"/>
        <w:snapToGrid w:val="false"/>
        <w:spacing w:lineRule="auto" w:line="360"/>
        <w:jc w:val="center"/>
        <w:rPr>
          <w:rFonts w:ascii="方正小标宋简体" w:hAnsi="方正小标宋简体" w:eastAsia="方正小标宋简体"/>
          <w:sz w:val="44"/>
          <w:szCs w:val="44"/>
        </w:rPr>
      </w:pPr>
      <w:r>
        <w:rPr>
          <w:rFonts w:eastAsia="方正小标宋简体" w:ascii="方正小标宋简体" w:hAnsi="方正小标宋简体"/>
          <w:sz w:val="44"/>
          <w:szCs w:val="44"/>
        </w:rPr>
      </w:r>
    </w:p>
    <w:p>
      <w:pPr>
        <w:pStyle w:val="Normal"/>
        <w:snapToGrid w:val="false"/>
        <w:spacing w:lineRule="auto" w:line="360"/>
        <w:jc w:val="center"/>
        <w:rPr>
          <w:rFonts w:ascii="方正黑体_GBK" w:hAnsi="方正黑体_GBK" w:eastAsia="方正黑体_GBK" w:cs="方正黑体_GBK"/>
          <w:sz w:val="28"/>
          <w:szCs w:val="28"/>
        </w:rPr>
      </w:pPr>
      <w:r>
        <w:rPr>
          <w:rFonts w:ascii="方正黑体_GBK" w:hAnsi="方正黑体_GBK" w:cs="方正黑体_GBK" w:eastAsia="方正黑体_GBK"/>
          <w:sz w:val="28"/>
          <w:szCs w:val="28"/>
        </w:rPr>
        <w:t>填  写  说  明</w:t>
      </w:r>
    </w:p>
    <w:p>
      <w:pPr>
        <w:pStyle w:val="Normal"/>
        <w:snapToGrid w:val="false"/>
        <w:spacing w:lineRule="auto" w:line="360"/>
        <w:ind w:firstLine="420" w:end="0"/>
        <w:rPr>
          <w:rFonts w:ascii="方正黑体_GBK" w:hAnsi="方正黑体_GBK" w:eastAsia="方正黑体_GBK" w:cs="方正黑体_GBK"/>
          <w:sz w:val="28"/>
          <w:szCs w:val="21"/>
        </w:rPr>
      </w:pPr>
      <w:r>
        <w:rPr>
          <w:rFonts w:eastAsia="方正黑体_GBK" w:cs="方正黑体_GBK" w:ascii="方正黑体_GBK" w:hAnsi="方正黑体_GBK"/>
          <w:sz w:val="28"/>
          <w:szCs w:val="21"/>
        </w:rPr>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、本合同适用于本市行政区域内住宅项目的物业服务及其相关活动。</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、订立本合同前，当事人双方须认真协商各项条款，合同一经签字或者盖章即生效（当事人另有约定的除外），本合同任何条款的变更须经双方协商一致后，签字或者盖章确认。</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、合同应当用钢笔、毛笔、签字笔或打印填写，空格部分若不填写内容，应当用“</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划掉。涂改之处，须经合同当事人签字或者盖章确认。</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4</w:t>
      </w:r>
      <w:r>
        <w:rPr>
          <w:rFonts w:ascii="方正书宋_GBK" w:hAnsi="方正书宋_GBK" w:cs="方正书宋_GBK" w:eastAsia="方正书宋_GBK"/>
          <w:sz w:val="22"/>
          <w:szCs w:val="22"/>
        </w:rPr>
        <w:t>、合同发生重大变更、解除及合同文本遗失的，应当及时  到原备案机关办理相关手续。</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5</w:t>
      </w:r>
      <w:r>
        <w:rPr>
          <w:rFonts w:ascii="方正书宋_GBK" w:hAnsi="方正书宋_GBK" w:cs="方正书宋_GBK" w:eastAsia="方正书宋_GBK"/>
          <w:sz w:val="22"/>
          <w:szCs w:val="22"/>
        </w:rPr>
        <w:t>、本合同不得翻印。</w:t>
      </w:r>
    </w:p>
    <w:p>
      <w:pPr>
        <w:pStyle w:val="Normal"/>
        <w:snapToGrid w:val="false"/>
        <w:spacing w:lineRule="auto" w:line="360"/>
        <w:ind w:firstLine="420" w:end="0"/>
        <w:rPr>
          <w:rFonts w:ascii="方正书宋_GBK" w:hAnsi="方正书宋_GBK" w:eastAsia="方正书宋_GBK" w:cs="方正书宋_GBK"/>
          <w:sz w:val="22"/>
          <w:szCs w:val="21"/>
        </w:rPr>
      </w:pPr>
      <w:r>
        <w:rPr>
          <w:rFonts w:eastAsia="方正书宋_GBK" w:cs="方正书宋_GBK" w:ascii="方正书宋_GBK" w:hAnsi="方正书宋_GBK"/>
          <w:sz w:val="22"/>
          <w:szCs w:val="21"/>
        </w:rPr>
      </w:r>
    </w:p>
    <w:p>
      <w:pPr>
        <w:pStyle w:val="Normal"/>
        <w:snapToGrid w:val="false"/>
        <w:spacing w:lineRule="auto" w:line="360"/>
        <w:ind w:firstLine="420" w:end="0"/>
        <w:rPr>
          <w:szCs w:val="21"/>
        </w:rPr>
      </w:pPr>
      <w:r>
        <w:rPr>
          <w:szCs w:val="21"/>
        </w:rPr>
      </w:r>
    </w:p>
    <w:p>
      <w:pPr>
        <w:pStyle w:val="Normal"/>
        <w:snapToGrid w:val="false"/>
        <w:spacing w:lineRule="auto" w:line="360"/>
        <w:ind w:firstLine="420" w:end="0"/>
        <w:rPr>
          <w:szCs w:val="21"/>
        </w:rPr>
      </w:pPr>
      <w:r>
        <w:rPr>
          <w:szCs w:val="21"/>
        </w:rPr>
      </w:r>
    </w:p>
    <w:p>
      <w:pPr>
        <w:pStyle w:val="Normal"/>
        <w:snapToGrid w:val="false"/>
        <w:spacing w:lineRule="auto" w:line="360"/>
        <w:ind w:firstLine="420" w:end="0"/>
        <w:rPr>
          <w:szCs w:val="21"/>
        </w:rPr>
      </w:pPr>
      <w:r>
        <w:rPr>
          <w:szCs w:val="21"/>
        </w:rPr>
      </w:r>
    </w:p>
    <w:p>
      <w:pPr>
        <w:pStyle w:val="Normal"/>
        <w:snapToGrid w:val="false"/>
        <w:spacing w:lineRule="auto" w:line="360"/>
        <w:ind w:firstLine="420" w:end="0"/>
        <w:rPr>
          <w:szCs w:val="21"/>
        </w:rPr>
      </w:pPr>
      <w:r>
        <w:rPr>
          <w:szCs w:val="21"/>
        </w:rPr>
      </w:r>
    </w:p>
    <w:p>
      <w:pPr>
        <w:pStyle w:val="Normal"/>
        <w:snapToGrid w:val="false"/>
        <w:spacing w:lineRule="auto" w:line="360"/>
        <w:ind w:firstLine="420" w:end="0"/>
        <w:rPr>
          <w:szCs w:val="21"/>
        </w:rPr>
      </w:pPr>
      <w:r>
        <w:rPr>
          <w:szCs w:val="21"/>
        </w:rPr>
      </w:r>
    </w:p>
    <w:p>
      <w:pPr>
        <w:pStyle w:val="Normal"/>
        <w:snapToGrid w:val="false"/>
        <w:spacing w:lineRule="auto" w:line="360"/>
        <w:ind w:firstLine="420" w:end="0"/>
        <w:rPr>
          <w:szCs w:val="21"/>
        </w:rPr>
      </w:pPr>
      <w:r>
        <w:rPr>
          <w:szCs w:val="21"/>
        </w:rPr>
      </w:r>
    </w:p>
    <w:p>
      <w:pPr>
        <w:pStyle w:val="Normal"/>
        <w:snapToGrid w:val="false"/>
        <w:spacing w:lineRule="auto" w:line="360"/>
        <w:ind w:firstLine="420" w:end="0"/>
        <w:rPr>
          <w:szCs w:val="21"/>
        </w:rPr>
      </w:pPr>
      <w:r>
        <w:rPr>
          <w:szCs w:val="21"/>
        </w:rPr>
      </w:r>
    </w:p>
    <w:p>
      <w:pPr>
        <w:pStyle w:val="Normal"/>
        <w:snapToGrid w:val="false"/>
        <w:spacing w:lineRule="auto" w:line="360"/>
        <w:jc w:val="center"/>
        <w:rPr>
          <w:rFonts w:ascii="方正小标宋简体" w:hAnsi="方正小标宋简体" w:eastAsia="方正小标宋简体"/>
          <w:sz w:val="40"/>
          <w:szCs w:val="40"/>
        </w:rPr>
      </w:pPr>
      <w:r>
        <w:rPr>
          <w:rFonts w:ascii="方正小标宋_GBK" w:hAnsi="方正小标宋_GBK" w:cs="方正小标宋_GBK" w:eastAsia="方正小标宋_GBK"/>
          <w:sz w:val="40"/>
          <w:szCs w:val="40"/>
        </w:rPr>
        <w:t>天津市住宅物业服务合同</w:t>
      </w:r>
    </w:p>
    <w:p>
      <w:pPr>
        <w:pStyle w:val="Normal"/>
        <w:snapToGrid w:val="false"/>
        <w:spacing w:lineRule="auto" w:line="360"/>
        <w:ind w:firstLine="420" w:end="0"/>
        <w:rPr>
          <w:rFonts w:ascii="方正小标宋简体" w:hAnsi="方正小标宋简体" w:eastAsia="方正小标宋简体"/>
          <w:sz w:val="40"/>
          <w:szCs w:val="21"/>
        </w:rPr>
      </w:pPr>
      <w:r>
        <w:rPr>
          <w:rFonts w:eastAsia="方正小标宋简体" w:ascii="方正小标宋简体" w:hAnsi="方正小标宋简体"/>
          <w:sz w:val="40"/>
          <w:szCs w:val="21"/>
        </w:rPr>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rPr>
        <w:t>甲方：</w:t>
      </w:r>
      <w:r>
        <w:rPr>
          <w:rFonts w:ascii="方正书宋_GBK" w:hAnsi="方正书宋_GBK" w:cs="方正书宋_GBK" w:eastAsia="方正书宋_GBK"/>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业主委员会主任</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   联系电话：</w:t>
      </w:r>
      <w:r>
        <w:rPr>
          <w:rFonts w:ascii="方正书宋_GBK" w:hAnsi="方正书宋_GBK" w:cs="方正书宋_GBK" w:eastAsia="方正书宋_GBK"/>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住      所：</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   邮政编码：</w:t>
      </w:r>
      <w:r>
        <w:rPr>
          <w:rFonts w:ascii="方正书宋_GBK" w:hAnsi="方正书宋_GBK" w:cs="方正书宋_GBK" w:eastAsia="方正书宋_GBK"/>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营业执照号码：</w:t>
      </w:r>
      <w:r>
        <w:rPr>
          <w:rFonts w:ascii="方正书宋_GBK" w:hAnsi="方正书宋_GBK" w:cs="方正书宋_GBK" w:eastAsia="方正书宋_GBK"/>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rPr>
        <w:t>乙方：</w:t>
      </w:r>
      <w:r>
        <w:rPr>
          <w:rFonts w:ascii="方正书宋_GBK" w:hAnsi="方正书宋_GBK" w:cs="方正书宋_GBK" w:eastAsia="方正书宋_GBK"/>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法定代表人：</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   联系电话：</w:t>
      </w:r>
      <w:r>
        <w:rPr>
          <w:rFonts w:ascii="方正书宋_GBK" w:hAnsi="方正书宋_GBK" w:cs="方正书宋_GBK" w:eastAsia="方正书宋_GBK"/>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住      所：</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   邮政编码：</w:t>
      </w:r>
      <w:r>
        <w:rPr>
          <w:rFonts w:ascii="方正书宋_GBK" w:hAnsi="方正书宋_GBK" w:cs="方正书宋_GBK" w:eastAsia="方正书宋_GBK"/>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rPr>
        <w:t>营业执照号码：</w:t>
      </w:r>
      <w:r>
        <w:rPr>
          <w:rFonts w:ascii="方正书宋_GBK" w:hAnsi="方正书宋_GBK" w:cs="方正书宋_GBK" w:eastAsia="方正书宋_GBK"/>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企业资质证号：</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   资质等级：</w:t>
      </w:r>
      <w:r>
        <w:rPr>
          <w:rFonts w:ascii="方正书宋_GBK" w:hAnsi="方正书宋_GBK" w:cs="方正书宋_GBK" w:eastAsia="方正书宋_GBK"/>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根据《中华人民共和国合同法》、国务院《物业管理条例》和《天津市物业管理条例》等有关法律、法规的规定，甲乙双方遵循平等、自愿、公平、诚实信用的原则，经协商一致，甲方代表全体业主将</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（物业项目名称）委托乙方进行物业管理服务事宜，订立本合同。</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本合同对物业服务企业和全体业主具有约束力。</w:t>
      </w:r>
    </w:p>
    <w:p>
      <w:pPr>
        <w:pStyle w:val="Normal"/>
        <w:keepNext w:val="false"/>
        <w:keepLines w:val="false"/>
        <w:pageBreakBefore w:val="false"/>
        <w:widowControl w:val="false"/>
        <w:kinsoku w:val="true"/>
        <w:overflowPunct w:val="true"/>
        <w:autoSpaceDE w:val="true"/>
        <w:bidi w:val="0"/>
        <w:snapToGrid w:val="false"/>
        <w:spacing w:lineRule="exact" w:line="420"/>
        <w:ind w:firstLine="442" w:end="0"/>
        <w:textAlignment w:val="auto"/>
        <w:rPr>
          <w:rFonts w:ascii="方正书宋_GBK" w:hAnsi="方正书宋_GBK" w:eastAsia="方正书宋_GBK" w:cs="方正书宋_GBK"/>
          <w:b/>
          <w:bCs/>
          <w:sz w:val="22"/>
          <w:szCs w:val="22"/>
        </w:rPr>
      </w:pPr>
      <w:r>
        <w:rPr>
          <w:rFonts w:ascii="方正书宋_GBK" w:hAnsi="方正书宋_GBK" w:cs="方正书宋_GBK" w:eastAsia="方正书宋_GBK"/>
          <w:b/>
          <w:bCs/>
          <w:sz w:val="22"/>
          <w:szCs w:val="22"/>
        </w:rPr>
        <w:t>第一条  委托物业的基本情况</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rPr>
        <w:t>物业类型（多层住宅、高层住宅、别墅）：</w:t>
      </w:r>
      <w:r>
        <w:rPr>
          <w:rFonts w:ascii="方正书宋_GBK" w:hAnsi="方正书宋_GBK" w:cs="方正书宋_GBK" w:eastAsia="方正书宋_GBK"/>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座落位置：</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市</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区（县）</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道（路、街）</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号</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四    至：东</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南</w:t>
      </w:r>
      <w:r>
        <w:rPr>
          <w:rFonts w:ascii="方正书宋_GBK" w:hAnsi="方正书宋_GBK" w:cs="方正书宋_GBK" w:eastAsia="方正书宋_GBK"/>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false"/>
        <w:spacing w:lineRule="exact" w:line="420"/>
        <w:ind w:firstLine="15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西</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北</w:t>
      </w:r>
      <w:r>
        <w:rPr>
          <w:rFonts w:ascii="方正书宋_GBK" w:hAnsi="方正书宋_GBK" w:cs="方正书宋_GBK" w:eastAsia="方正书宋_GBK"/>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总占地面积：</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万平方米</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总建筑面积：</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万平方米</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多层住宅</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万平方米    高层住宅</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万平方米</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别    墅</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万平方米    商    业</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万平方米</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配套公建</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万平方米</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委托管理的物业构成细目见附表一、二、三、四。</w:t>
      </w:r>
    </w:p>
    <w:p>
      <w:pPr>
        <w:pStyle w:val="Normal"/>
        <w:keepNext w:val="false"/>
        <w:keepLines w:val="false"/>
        <w:pageBreakBefore w:val="false"/>
        <w:widowControl w:val="false"/>
        <w:kinsoku w:val="true"/>
        <w:overflowPunct w:val="true"/>
        <w:autoSpaceDE w:val="true"/>
        <w:bidi w:val="0"/>
        <w:snapToGrid w:val="false"/>
        <w:spacing w:lineRule="exact" w:line="420"/>
        <w:ind w:firstLine="442" w:end="0"/>
        <w:textAlignment w:val="auto"/>
        <w:rPr>
          <w:rFonts w:ascii="方正书宋_GBK" w:hAnsi="方正书宋_GBK" w:eastAsia="方正书宋_GBK" w:cs="方正书宋_GBK"/>
          <w:b/>
          <w:bCs/>
          <w:sz w:val="22"/>
          <w:szCs w:val="22"/>
        </w:rPr>
      </w:pPr>
      <w:r>
        <w:rPr>
          <w:rFonts w:ascii="方正书宋_GBK" w:hAnsi="方正书宋_GBK" w:cs="方正书宋_GBK" w:eastAsia="方正书宋_GBK"/>
          <w:b/>
          <w:bCs/>
          <w:sz w:val="22"/>
          <w:szCs w:val="22"/>
        </w:rPr>
        <w:t>第二条  物业服务内容及标准</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（一）房屋共用部位和共用设施设备的维修、养护和管理：</w:t>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（二）电梯、水泵、智能系统等设备的运行管理与服务：</w:t>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（三）共有区域内环境卫生清扫保洁和绿地、树木、绿化设施的养护、管理：</w:t>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（四）物业装饰装修的管理：</w:t>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（五）车辆行驶和停放秩序的服务、管理：</w:t>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（六）物业管理区域内公共秩序的服务、管理：</w:t>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（七）物业档案的建立、保管和使用：</w:t>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（八）其他委托事项：</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4</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false"/>
        <w:spacing w:lineRule="exact" w:line="420"/>
        <w:ind w:firstLine="442" w:end="0"/>
        <w:textAlignment w:val="auto"/>
        <w:rPr>
          <w:rFonts w:ascii="方正书宋_GBK" w:hAnsi="方正书宋_GBK" w:eastAsia="方正书宋_GBK" w:cs="方正书宋_GBK"/>
          <w:b/>
          <w:bCs/>
          <w:sz w:val="22"/>
          <w:szCs w:val="22"/>
        </w:rPr>
      </w:pPr>
      <w:r>
        <w:rPr>
          <w:rFonts w:ascii="方正书宋_GBK" w:hAnsi="方正书宋_GBK" w:cs="方正书宋_GBK" w:eastAsia="方正书宋_GBK"/>
          <w:b/>
          <w:bCs/>
          <w:sz w:val="22"/>
          <w:szCs w:val="22"/>
        </w:rPr>
        <w:t>第三条  物业管理服务期限</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物业管理服务期限为</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年</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一般不得低于两年</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自</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年</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月</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日起至</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年</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月</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日终止。</w:t>
      </w:r>
    </w:p>
    <w:p>
      <w:pPr>
        <w:pStyle w:val="Normal"/>
        <w:keepNext w:val="false"/>
        <w:keepLines w:val="false"/>
        <w:pageBreakBefore w:val="false"/>
        <w:widowControl w:val="false"/>
        <w:kinsoku w:val="true"/>
        <w:overflowPunct w:val="true"/>
        <w:autoSpaceDE w:val="true"/>
        <w:bidi w:val="0"/>
        <w:snapToGrid w:val="false"/>
        <w:spacing w:lineRule="exact" w:line="420"/>
        <w:ind w:firstLine="442" w:end="0"/>
        <w:textAlignment w:val="auto"/>
        <w:rPr>
          <w:rFonts w:ascii="方正书宋_GBK" w:hAnsi="方正书宋_GBK" w:eastAsia="方正书宋_GBK" w:cs="方正书宋_GBK"/>
          <w:b/>
          <w:bCs/>
          <w:sz w:val="22"/>
          <w:szCs w:val="22"/>
        </w:rPr>
      </w:pPr>
      <w:r>
        <w:rPr>
          <w:rFonts w:ascii="方正书宋_GBK" w:hAnsi="方正书宋_GBK" w:cs="方正书宋_GBK" w:eastAsia="方正书宋_GBK"/>
          <w:b/>
          <w:bCs/>
          <w:sz w:val="22"/>
          <w:szCs w:val="22"/>
        </w:rPr>
        <w:t>第四条  甲方权利义务</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（一）代表和维护全体业主在物业管理服务活动中的合法权益；</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（二）制定、修改业主大会议事规则和管理规约，监督业主遵守管理规约；</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（三）选举、更换业主委员会成员，监督业主委员会的工作；</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（四）审定物业服务合同内容，选聘、解聘物业服务企业；</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（五）审定乙方提出的物业管理服务年度计划及管理制度；监督并配合乙方管理服务工作的实施及制度的执行；</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（六）实行酬金制的审定乙方提出的年度财务预算及财务报告；</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（七）制定、修改、审议物业管理区域内共用部位和共用设施设备的使用、公共秩序和环境卫生的维护等方面的规章制度或者物业服务企业提出的其他管理事项；</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（八）负责提供物业管理服务所需相关文件和资料；</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（九）制定专项维修资金的筹集、使用方案，并监督实施；</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（十）制定改建、重建建筑物及其附属设施方案；</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（十一）涉及业主共有和共同管理权利的其他重大事项。</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（十二）负责处理本合同生效前发生的遗留问题：</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u w:val="single"/>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（十三）其他：</w:t>
      </w:r>
    </w:p>
    <w:p>
      <w:pPr>
        <w:pStyle w:val="Normal"/>
        <w:keepNext w:val="false"/>
        <w:keepLines w:val="false"/>
        <w:pageBreakBefore w:val="false"/>
        <w:widowControl w:val="false"/>
        <w:kinsoku w:val="true"/>
        <w:overflowPunct w:val="true"/>
        <w:autoSpaceDE w:val="true"/>
        <w:bidi w:val="0"/>
        <w:snapToGrid w:val="false"/>
        <w:spacing w:lineRule="exact" w:line="420"/>
        <w:ind w:firstLine="442" w:end="0"/>
        <w:textAlignment w:val="auto"/>
        <w:rPr>
          <w:rFonts w:ascii="方正书宋_GBK" w:hAnsi="方正书宋_GBK" w:eastAsia="方正书宋_GBK" w:cs="方正书宋_GBK"/>
          <w:sz w:val="22"/>
          <w:szCs w:val="22"/>
        </w:rPr>
      </w:pPr>
      <w:r>
        <w:rPr>
          <w:rFonts w:ascii="方正书宋_GBK" w:hAnsi="方正书宋_GBK" w:cs="方正书宋_GBK" w:eastAsia="方正书宋_GBK"/>
          <w:b/>
          <w:bCs/>
          <w:sz w:val="22"/>
          <w:szCs w:val="22"/>
        </w:rPr>
        <w:t>第五条  乙方权利义务</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（一）依照国家、本市有关规定和本合同约定，制定物业管理服务方案和制度，对物业及其环境、卫生、公共秩序进行管理服务；</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（二）在本物业管理区域内的显著位置，将服务内容、服务标准和收费项目、收费标准等有关情况进行公示；</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（三）依照本合同约定向业主收取物业管理服务费；</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（四）建立物业项目的管理档案；</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（五）对业主违反国家和本市有关物业管理方面的法律、法规和规章及管理规约的行为，进行劝阻、制止，并向甲方和有关部门报告；</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（六）对侵害物业共用部位、共用设施设备的行为要求责任人停止侵害、排除妨害、恢复原状；</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（七）不得将物业项目整体转让给其他方管理，但可以将专项服务委托专业公司承担；</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（八）强对共用部位、共用设施设备运行状况的日常检查，每年第四季度将运行状况的报告提交业主委员会，并在物业管理区域内公告；负责编制物业的年度维修养护计划，并组织实施；</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（九）提前将装饰装修房屋的有关规定书面告知业主，当业主装饰装修房屋时，对不符合安全要求和影响公共利益的，进行劝阻制止，责令改正；劝阻无效时向有关行政管理部门报告；</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（十）负责编制物业管理服务年度计划</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（十一）定期向全体业主公布场地占用费、利用物业共用部位共用设施所得收益收支情况；</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（十二）实行酬金制的，每季度向甲方或全体业主公布一次物业管理服务费的收支情况；</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（十三）对本物业的共用部位、设施及场地不得擅自占用和改变使用功能，如需在本物业内改、扩建或者完善配套设施设备，经甲方和有利害关系的业主同意后报有关部门批准方可以实施；</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（十四）自本合同终止时起十日内，向甲方办理下列移交事项：</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、预收的物业管理服务费、场地占用费和收取的利用物业共用部位、共用设施、场地经营所得的收益余额；</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、物业管理项目的档案资料，并对业主个人信息和资料负有保密义务；</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、物业管理用房和属于业主共同的场地、设施设备；</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4</w:t>
      </w:r>
      <w:r>
        <w:rPr>
          <w:rFonts w:ascii="方正书宋_GBK" w:hAnsi="方正书宋_GBK" w:cs="方正书宋_GBK" w:eastAsia="方正书宋_GBK"/>
          <w:sz w:val="22"/>
          <w:szCs w:val="22"/>
        </w:rPr>
        <w:t>、实行酬金制收费方式的，应移交物业管理服务期间的财务资料；</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（十五）应当协助公安部门做好物业管理区域内的公共秩序维护和安全防范工作。在本物业管理区域内发生治安案件或者各类灾害事故时，应当及时向公安和有关部门报告，并积极协助做好调查和救助工作。</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（十六）接受全体业主和业主委员会的监督；</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（十七）接受物业管理行政主管部门的监督指导；</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（十八）其他：</w:t>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false"/>
        <w:spacing w:lineRule="exact" w:line="420"/>
        <w:ind w:firstLine="442" w:end="0"/>
        <w:textAlignment w:val="auto"/>
        <w:rPr>
          <w:rFonts w:ascii="方正书宋_GBK" w:hAnsi="方正书宋_GBK" w:eastAsia="方正书宋_GBK" w:cs="方正书宋_GBK"/>
          <w:b/>
          <w:bCs/>
          <w:sz w:val="22"/>
          <w:szCs w:val="22"/>
        </w:rPr>
      </w:pPr>
      <w:r>
        <w:rPr>
          <w:rFonts w:ascii="方正书宋_GBK" w:hAnsi="方正书宋_GBK" w:cs="方正书宋_GBK" w:eastAsia="方正书宋_GBK"/>
          <w:b/>
          <w:bCs/>
          <w:sz w:val="22"/>
          <w:szCs w:val="22"/>
        </w:rPr>
        <w:t>第六条  物业管理服务费用</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经协商，本物业管理区域内的物业管理服务费采取</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的形式收取。（包干制或酬金制）</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（一）物业管理服务费收费标准</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、包干制</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物业管理月艮务费用标准如下（按建筑面积计算）：</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）多层住宅：</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元／月•平方米</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）高层住宅：</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元／月•平方米</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）别    墅：</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元／月•平方米</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4</w:t>
      </w:r>
      <w:r>
        <w:rPr>
          <w:rFonts w:ascii="方正书宋_GBK" w:hAnsi="方正书宋_GBK" w:cs="方正书宋_GBK" w:eastAsia="方正书宋_GBK"/>
          <w:sz w:val="22"/>
          <w:szCs w:val="22"/>
        </w:rPr>
        <w:t>）商    业：</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元／月•平方米</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5</w:t>
      </w:r>
      <w:r>
        <w:rPr>
          <w:rFonts w:ascii="方正书宋_GBK" w:hAnsi="方正书宋_GBK" w:cs="方正书宋_GBK" w:eastAsia="方正书宋_GBK"/>
          <w:sz w:val="22"/>
          <w:szCs w:val="22"/>
        </w:rPr>
        <w:t>）配套公建：</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元／月•平方米</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6</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元／月•平方米</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7</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元／月•平方米</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    </w:t>
      </w:r>
      <w:r>
        <w:rPr>
          <w:rFonts w:ascii="方正书宋_GBK" w:hAnsi="方正书宋_GBK" w:cs="方正书宋_GBK" w:eastAsia="方正书宋_GBK"/>
          <w:sz w:val="22"/>
          <w:szCs w:val="22"/>
        </w:rPr>
        <w:t>配备电梯、消防、二次供水等机电设施的运行、维护、管理费用按建筑面积每月每平方米</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元的标准由业主交纳。</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业主向乙方交纳物业管理服务费后，乙方按照本合同约定的服务内容和标准提供服务，盈余或亏损由乙方享有或承担。</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、酬金制</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本物业管理区域物业服务资金的预收标准如下（按建筑面积计算）：</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）多层住宅：</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元／月•平方米</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）高层住宅：</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元／月•平方米</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）别    墅：</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元／月•平方米</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4</w:t>
      </w:r>
      <w:r>
        <w:rPr>
          <w:rFonts w:ascii="方正书宋_GBK" w:hAnsi="方正书宋_GBK" w:cs="方正书宋_GBK" w:eastAsia="方正书宋_GBK"/>
          <w:sz w:val="22"/>
          <w:szCs w:val="22"/>
        </w:rPr>
        <w:t>）商    业：</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元／月•平方米</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5</w:t>
      </w:r>
      <w:r>
        <w:rPr>
          <w:rFonts w:ascii="方正书宋_GBK" w:hAnsi="方正书宋_GBK" w:cs="方正书宋_GBK" w:eastAsia="方正书宋_GBK"/>
          <w:sz w:val="22"/>
          <w:szCs w:val="22"/>
        </w:rPr>
        <w:t>）配套公建：</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元／月•平方米</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6</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元／月•平方米</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7</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元／月•平方米</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乙方选择以下第</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种方式从物业服务资金中提取酬金：</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）物业服务企业每月</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季</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年按</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元的标准从物业服务资金中提取；</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）物业服务企业每月</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季</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年按应收物业服务资金数额</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的比例提取。</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配备电梯、消防、二次供水等机电设施的运行、维护、管理费用按建筑面积每月每平方米</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元的标准由业主交纳。</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乙方应向全体业主公布物业服务资金年度预决算并于每季度公布一次物业服务资金的收支情况。</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预收的物业服务支出为所交纳的业主所有，由乙方代管，并由乙方按已公示的预算方案主要用于以下开支：</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）管理服务人员的工资、社会保险和按规定提取的福利费等；</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）物业共用部位、共用设施设备的日常运行、维护费用；</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）物业管理区域清洁卫生费用；</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4</w:t>
      </w:r>
      <w:r>
        <w:rPr>
          <w:rFonts w:ascii="方正书宋_GBK" w:hAnsi="方正书宋_GBK" w:cs="方正书宋_GBK" w:eastAsia="方正书宋_GBK"/>
          <w:sz w:val="22"/>
          <w:szCs w:val="22"/>
        </w:rPr>
        <w:t>）物业管理区域绿化养护费用；</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5</w:t>
      </w:r>
      <w:r>
        <w:rPr>
          <w:rFonts w:ascii="方正书宋_GBK" w:hAnsi="方正书宋_GBK" w:cs="方正书宋_GBK" w:eastAsia="方正书宋_GBK"/>
          <w:sz w:val="22"/>
          <w:szCs w:val="22"/>
        </w:rPr>
        <w:t>）物业管理区域秩序维护费用；</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6</w:t>
      </w:r>
      <w:r>
        <w:rPr>
          <w:rFonts w:ascii="方正书宋_GBK" w:hAnsi="方正书宋_GBK" w:cs="方正书宋_GBK" w:eastAsia="方正书宋_GBK"/>
          <w:sz w:val="22"/>
          <w:szCs w:val="22"/>
        </w:rPr>
        <w:t>）办公费用；</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7</w:t>
      </w:r>
      <w:r>
        <w:rPr>
          <w:rFonts w:ascii="方正书宋_GBK" w:hAnsi="方正书宋_GBK" w:cs="方正书宋_GBK" w:eastAsia="方正书宋_GBK"/>
          <w:sz w:val="22"/>
          <w:szCs w:val="22"/>
        </w:rPr>
        <w:t>）物业服务企业固定资产折旧；</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8</w:t>
      </w:r>
      <w:r>
        <w:rPr>
          <w:rFonts w:ascii="方正书宋_GBK" w:hAnsi="方正书宋_GBK" w:cs="方正书宋_GBK" w:eastAsia="方正书宋_GBK"/>
          <w:sz w:val="22"/>
          <w:szCs w:val="22"/>
        </w:rPr>
        <w:t>）物业共用部位、共用设施设备及公众责任保险费用；</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9</w:t>
      </w:r>
      <w:r>
        <w:rPr>
          <w:rFonts w:ascii="方正书宋_GBK" w:hAnsi="方正书宋_GBK" w:cs="方正书宋_GBK" w:eastAsia="方正书宋_GBK"/>
          <w:sz w:val="22"/>
          <w:szCs w:val="22"/>
        </w:rPr>
        <w:t>）经业主同意的</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费用。</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（二）未出售的空置房屋的物业管理服务费由开发建设单位全额交纳；</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（三）竣工验收合格交付业主后的物业管理服务费由业主交纳。</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（四）业主转让物业时，须结清转让之前的物业管理服务费用；</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（五）交纳费用时间：</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）业主于</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交纳；</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）开发建设单位于</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交纳。</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（六）业主大会和业主委员会的活动经费每年按照不超过实收物业管理服务费</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％从物业管理服务费中提取，采取实报实销的方式由乙方单独设置科目列支。</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（七）业主或者开发建设单位逾期交纳物业管理服务费的，从逾期之日起按应交物业管理服务费的</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比例交纳违约金。</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（八）业主应当根据物业服务合同的约定交纳物业管理服务费用。业主与物业使用人约定由物业使用人交纳物业管理服务费用的，从其约定，业主负连带交纳责任。</w:t>
      </w:r>
    </w:p>
    <w:p>
      <w:pPr>
        <w:pStyle w:val="Normal"/>
        <w:keepNext w:val="false"/>
        <w:keepLines w:val="false"/>
        <w:pageBreakBefore w:val="false"/>
        <w:widowControl w:val="false"/>
        <w:kinsoku w:val="true"/>
        <w:overflowPunct w:val="true"/>
        <w:autoSpaceDE w:val="true"/>
        <w:bidi w:val="0"/>
        <w:snapToGrid w:val="false"/>
        <w:spacing w:lineRule="exact" w:line="420"/>
        <w:ind w:firstLine="442" w:end="0"/>
        <w:textAlignment w:val="auto"/>
        <w:rPr>
          <w:rFonts w:ascii="方正书宋_GBK" w:hAnsi="方正书宋_GBK" w:eastAsia="方正书宋_GBK" w:cs="方正书宋_GBK"/>
          <w:b/>
          <w:bCs/>
          <w:sz w:val="22"/>
          <w:szCs w:val="22"/>
        </w:rPr>
      </w:pPr>
      <w:r>
        <w:rPr>
          <w:rFonts w:ascii="方正书宋_GBK" w:hAnsi="方正书宋_GBK" w:cs="方正书宋_GBK" w:eastAsia="方正书宋_GBK"/>
          <w:b/>
          <w:bCs/>
          <w:sz w:val="22"/>
          <w:szCs w:val="22"/>
        </w:rPr>
        <w:t>第七条  车位使用费收费分别采取以下方式</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（一）机动车辆</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、占用业主共有的道路或其他场地停放机动车辆的车位，按照</w:t>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元／个•月的标准向乙方交纳场地占用费。</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场地占用费用于养护维修本物业管理区域内的道路和停车设施、改善共用设施设备、</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等。</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甲乙双方可就机动车停放管理服务的有关事宜协商如下：</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l</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场地占用费的收支情况于每</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个月公布一次。</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、规划用于停放机动车辆的车位，应当委托乙方管理服务，车位使用人按露天车位</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元</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个•月、车库车位</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元</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个•月的标准向乙方交纳停车服务费。</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、业主对机动车辆有保管要求的，另行与乙方签订机动车辆保管合同。</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（二）非机动车辆收费标准：</w:t>
      </w:r>
    </w:p>
    <w:p>
      <w:pPr>
        <w:pStyle w:val="Normal"/>
        <w:keepNext w:val="false"/>
        <w:keepLines w:val="false"/>
        <w:pageBreakBefore w:val="false"/>
        <w:widowControl w:val="false"/>
        <w:kinsoku w:val="true"/>
        <w:overflowPunct w:val="true"/>
        <w:autoSpaceDE w:val="true"/>
        <w:bidi w:val="0"/>
        <w:snapToGrid w:val="false"/>
        <w:spacing w:lineRule="exact" w:line="420"/>
        <w:ind w:firstLine="442" w:end="0"/>
        <w:textAlignment w:val="auto"/>
        <w:rPr>
          <w:rFonts w:ascii="方正书宋_GBK" w:hAnsi="方正书宋_GBK" w:eastAsia="方正书宋_GBK" w:cs="方正书宋_GBK"/>
          <w:sz w:val="22"/>
          <w:szCs w:val="22"/>
        </w:rPr>
      </w:pPr>
      <w:r>
        <w:rPr>
          <w:rFonts w:ascii="方正书宋_GBK" w:hAnsi="方正书宋_GBK" w:cs="方正书宋_GBK" w:eastAsia="方正书宋_GBK"/>
          <w:b/>
          <w:bCs/>
          <w:sz w:val="22"/>
          <w:szCs w:val="22"/>
        </w:rPr>
        <w:t>第八条  代办服务和特约服务费</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（一）代办服务费：</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乙方可以接受供水、供电、供热、供气、通信、有线电视、等有关部门委托，提供代办服务，代办服务费由委托方交纳。</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（二）特约服务费：</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业主委托乙方提供物业服务合同约定以外特约服务的，其费用由双方约定；乙方应当将服务项目、收费标准进行公布。</w:t>
      </w:r>
    </w:p>
    <w:p>
      <w:pPr>
        <w:pStyle w:val="Normal"/>
        <w:keepNext w:val="false"/>
        <w:keepLines w:val="false"/>
        <w:pageBreakBefore w:val="false"/>
        <w:widowControl w:val="false"/>
        <w:kinsoku w:val="true"/>
        <w:overflowPunct w:val="true"/>
        <w:autoSpaceDE w:val="true"/>
        <w:bidi w:val="0"/>
        <w:snapToGrid w:val="false"/>
        <w:spacing w:lineRule="exact" w:line="420"/>
        <w:ind w:firstLine="442" w:end="0"/>
        <w:textAlignment w:val="auto"/>
        <w:rPr>
          <w:rFonts w:ascii="方正书宋_GBK" w:hAnsi="方正书宋_GBK" w:eastAsia="方正书宋_GBK" w:cs="方正书宋_GBK"/>
          <w:sz w:val="22"/>
          <w:szCs w:val="22"/>
        </w:rPr>
      </w:pPr>
      <w:r>
        <w:rPr>
          <w:rFonts w:ascii="方正书宋_GBK" w:hAnsi="方正书宋_GBK" w:cs="方正书宋_GBK" w:eastAsia="方正书宋_GBK"/>
          <w:b/>
          <w:bCs/>
          <w:sz w:val="22"/>
          <w:szCs w:val="22"/>
        </w:rPr>
        <w:t>第九条  专项维修资金</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业主应当按照下列约定，筹集、使用和管理本区域内的专项维修资金：</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（一）业主应当按照规定交纳和续交专项维修资金；</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（二）业主在转让其物业时，其帐户上的专项维修资金继续用作物业的共用部位、共用设施设备的维修、更新和改造；</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（三）按照本市有关规定使用专项维修资金。</w:t>
      </w:r>
    </w:p>
    <w:p>
      <w:pPr>
        <w:pStyle w:val="Normal"/>
        <w:keepNext w:val="false"/>
        <w:keepLines w:val="false"/>
        <w:pageBreakBefore w:val="false"/>
        <w:widowControl w:val="false"/>
        <w:kinsoku w:val="true"/>
        <w:overflowPunct w:val="true"/>
        <w:autoSpaceDE w:val="true"/>
        <w:bidi w:val="0"/>
        <w:snapToGrid w:val="false"/>
        <w:spacing w:lineRule="exact" w:line="420"/>
        <w:ind w:firstLine="442" w:end="0"/>
        <w:textAlignment w:val="auto"/>
        <w:rPr>
          <w:rFonts w:ascii="方正书宋_GBK" w:hAnsi="方正书宋_GBK" w:eastAsia="方正书宋_GBK" w:cs="方正书宋_GBK"/>
          <w:sz w:val="22"/>
          <w:szCs w:val="22"/>
        </w:rPr>
      </w:pPr>
      <w:r>
        <w:rPr>
          <w:rFonts w:ascii="方正书宋_GBK" w:hAnsi="方正书宋_GBK" w:cs="方正书宋_GBK" w:eastAsia="方正书宋_GBK"/>
          <w:b/>
          <w:bCs/>
          <w:sz w:val="22"/>
          <w:szCs w:val="22"/>
        </w:rPr>
        <w:t>第十条  房屋装饰装修</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业主或者物业使用人装饰装修房屋，应当遵守国家和本市有关规定。业主、物业使用人和装饰装修企业应当与乙方签订装饰装修管理服务协议。装饰装修管理服务协议一般包括装饰装修工程的内容和期限、允许施工的时间、废弃物的清运和处置以及相关费用等。</w:t>
      </w:r>
    </w:p>
    <w:p>
      <w:pPr>
        <w:pStyle w:val="Normal"/>
        <w:keepNext w:val="false"/>
        <w:keepLines w:val="false"/>
        <w:pageBreakBefore w:val="false"/>
        <w:widowControl w:val="false"/>
        <w:kinsoku w:val="true"/>
        <w:overflowPunct w:val="true"/>
        <w:autoSpaceDE w:val="true"/>
        <w:bidi w:val="0"/>
        <w:snapToGrid w:val="false"/>
        <w:spacing w:lineRule="exact" w:line="420"/>
        <w:ind w:firstLine="442" w:end="0"/>
        <w:textAlignment w:val="auto"/>
        <w:rPr>
          <w:rFonts w:ascii="方正书宋_GBK" w:hAnsi="方正书宋_GBK" w:eastAsia="方正书宋_GBK" w:cs="方正书宋_GBK"/>
          <w:b/>
          <w:bCs/>
          <w:sz w:val="22"/>
          <w:szCs w:val="22"/>
        </w:rPr>
      </w:pPr>
      <w:r>
        <w:rPr>
          <w:rFonts w:ascii="方正书宋_GBK" w:hAnsi="方正书宋_GBK" w:cs="方正书宋_GBK" w:eastAsia="方正书宋_GBK"/>
          <w:b/>
          <w:bCs/>
          <w:sz w:val="22"/>
          <w:szCs w:val="22"/>
        </w:rPr>
        <w:t>第十一条  物业管理用房</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在合同生效之日起</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日内，甲方向乙方无偿提供并移交</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建筑平方米、坐落于</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的物业管理用房。</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物业管理用房属全体业主所有，乙方负责维修、养护，不得买卖和抵押；任何单位和个人不得占用或者改作他用。</w:t>
      </w:r>
    </w:p>
    <w:p>
      <w:pPr>
        <w:pStyle w:val="Normal"/>
        <w:keepNext w:val="false"/>
        <w:keepLines w:val="false"/>
        <w:pageBreakBefore w:val="false"/>
        <w:widowControl w:val="false"/>
        <w:kinsoku w:val="true"/>
        <w:overflowPunct w:val="true"/>
        <w:autoSpaceDE w:val="true"/>
        <w:bidi w:val="0"/>
        <w:snapToGrid w:val="false"/>
        <w:spacing w:lineRule="exact" w:line="420"/>
        <w:ind w:firstLine="442" w:end="0"/>
        <w:textAlignment w:val="auto"/>
        <w:rPr>
          <w:rFonts w:ascii="方正书宋_GBK" w:hAnsi="方正书宋_GBK" w:eastAsia="方正书宋_GBK" w:cs="方正书宋_GBK"/>
          <w:sz w:val="22"/>
          <w:szCs w:val="22"/>
        </w:rPr>
      </w:pPr>
      <w:r>
        <w:rPr>
          <w:rFonts w:ascii="方正书宋_GBK" w:hAnsi="方正书宋_GBK" w:cs="方正书宋_GBK" w:eastAsia="方正书宋_GBK"/>
          <w:b/>
          <w:bCs/>
          <w:sz w:val="22"/>
          <w:szCs w:val="22"/>
        </w:rPr>
        <w:t>第十二条  物业及物业管理交接</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自本合同生效之日起，由甲方向乙方移交下列资金、物品和资料：</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（一）文件和资料：</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、竣工总平面图，单体建筑、结构、设备的竣工图，附属配套设施、地下管网工程竣工图等资料；</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、物业竣工验收资料；</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、共用设施设备安装、使用、维护和保养技术资料；</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4</w:t>
      </w:r>
      <w:r>
        <w:rPr>
          <w:rFonts w:ascii="方正书宋_GBK" w:hAnsi="方正书宋_GBK" w:cs="方正书宋_GBK" w:eastAsia="方正书宋_GBK"/>
          <w:sz w:val="22"/>
          <w:szCs w:val="22"/>
        </w:rPr>
        <w:t>、物业质量保证书和使用说明书；</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5</w:t>
      </w:r>
      <w:r>
        <w:rPr>
          <w:rFonts w:ascii="方正书宋_GBK" w:hAnsi="方正书宋_GBK" w:cs="方正书宋_GBK" w:eastAsia="方正书宋_GBK"/>
          <w:sz w:val="22"/>
          <w:szCs w:val="22"/>
        </w:rPr>
        <w:t>、业主有关情况资料；</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6</w:t>
      </w:r>
      <w:r>
        <w:rPr>
          <w:rFonts w:ascii="方正书宋_GBK" w:hAnsi="方正书宋_GBK" w:cs="方正书宋_GBK" w:eastAsia="方正书宋_GBK"/>
          <w:sz w:val="22"/>
          <w:szCs w:val="22"/>
        </w:rPr>
        <w:t>、物业管理需要的其他资料。</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（二）财务资料：</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物业管理服务费、场地占用费、利用物业共用设施所得收益等余额和财务账册；</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（三）物业管理用房和属于业主共同的场地、设施设备。</w:t>
      </w:r>
    </w:p>
    <w:p>
      <w:pPr>
        <w:pStyle w:val="Normal"/>
        <w:keepNext w:val="false"/>
        <w:keepLines w:val="false"/>
        <w:pageBreakBefore w:val="false"/>
        <w:widowControl w:val="false"/>
        <w:kinsoku w:val="true"/>
        <w:overflowPunct w:val="true"/>
        <w:autoSpaceDE w:val="true"/>
        <w:bidi w:val="0"/>
        <w:snapToGrid w:val="false"/>
        <w:spacing w:lineRule="exact" w:line="420"/>
        <w:ind w:firstLine="442" w:end="0"/>
        <w:textAlignment w:val="auto"/>
        <w:rPr>
          <w:rFonts w:ascii="方正书宋_GBK" w:hAnsi="方正书宋_GBK" w:eastAsia="方正书宋_GBK" w:cs="方正书宋_GBK"/>
          <w:sz w:val="22"/>
          <w:szCs w:val="22"/>
        </w:rPr>
      </w:pPr>
      <w:r>
        <w:rPr>
          <w:rFonts w:ascii="方正书宋_GBK" w:hAnsi="方正书宋_GBK" w:cs="方正书宋_GBK" w:eastAsia="方正书宋_GBK"/>
          <w:b/>
          <w:bCs/>
          <w:sz w:val="22"/>
          <w:szCs w:val="22"/>
        </w:rPr>
        <w:t>第十三条  违约责任</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（一）甲方违反合同第四条的约定，使乙方未完成规定的管理服务目标，乙方有权要求甲方解决，逾期未解决的，乙方有权终止合同；造成乙方经济损失的，甲方应当给予乙方经济赔偿。</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（二）乙方违反本合同第二、五条的约定，未能达到约定的管理服务目标，甲方有权要求乙方在</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日内整改，逾期未整改的，甲方有权终止合同；造成甲方经济损失的，乙方应当给予甲方经济赔偿。</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（三）乙方违反本合同第六、七、八条约定，擅自提高收费标准的，甲方有权代表业主要求乙方清退；造成业主经济损失的，乙方应当给予业主经济赔偿。</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（四）合同期满，乙方未按规定时间向甲方办理移交事项，乙方向甲方支付违约金</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元。</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（五）若相关业主拒绝、阻碍乙方对物业共用部位、共用设施设备进行维修、养护，造成损失的，业主应当承担赔偿责任；</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（六）甲乙任何一方无正当理由提前终止合同的，应当向对方支付</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元的违约金；给对方造成的经济损失超过违约金的，还应当给予赔偿。</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（七）其他：</w:t>
      </w:r>
    </w:p>
    <w:p>
      <w:pPr>
        <w:pStyle w:val="Normal"/>
        <w:keepNext w:val="false"/>
        <w:keepLines w:val="false"/>
        <w:pageBreakBefore w:val="false"/>
        <w:widowControl w:val="false"/>
        <w:kinsoku w:val="true"/>
        <w:overflowPunct w:val="true"/>
        <w:autoSpaceDE w:val="true"/>
        <w:bidi w:val="0"/>
        <w:snapToGrid w:val="false"/>
        <w:spacing w:lineRule="exact" w:line="420"/>
        <w:ind w:firstLine="442" w:end="0"/>
        <w:textAlignment w:val="auto"/>
        <w:rPr>
          <w:rFonts w:ascii="方正书宋_GBK" w:hAnsi="方正书宋_GBK" w:eastAsia="方正书宋_GBK" w:cs="方正书宋_GBK"/>
          <w:b/>
          <w:bCs/>
          <w:sz w:val="22"/>
          <w:szCs w:val="22"/>
        </w:rPr>
      </w:pPr>
      <w:r>
        <w:rPr>
          <w:rFonts w:ascii="方正书宋_GBK" w:hAnsi="方正书宋_GBK" w:cs="方正书宋_GBK" w:eastAsia="方正书宋_GBK"/>
          <w:b/>
          <w:bCs/>
          <w:sz w:val="22"/>
          <w:szCs w:val="22"/>
        </w:rPr>
        <w:t>第十四条  质量纠纷的约定</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因房屋建筑质量、设施设备质量或者安装技术等原因，达不到使用功能，造成重大事故的，由甲方向开发建设单位反映并作善后处理。产生质量事故的直接原因，以有资质的鉴定部门的鉴定为准。</w:t>
      </w:r>
    </w:p>
    <w:p>
      <w:pPr>
        <w:pStyle w:val="Normal"/>
        <w:keepNext w:val="false"/>
        <w:keepLines w:val="false"/>
        <w:pageBreakBefore w:val="false"/>
        <w:widowControl w:val="false"/>
        <w:kinsoku w:val="true"/>
        <w:overflowPunct w:val="true"/>
        <w:autoSpaceDE w:val="true"/>
        <w:bidi w:val="0"/>
        <w:snapToGrid w:val="false"/>
        <w:spacing w:lineRule="exact" w:line="420"/>
        <w:ind w:firstLine="442" w:end="0"/>
        <w:textAlignment w:val="auto"/>
        <w:rPr>
          <w:rFonts w:ascii="方正书宋_GBK" w:hAnsi="方正书宋_GBK" w:eastAsia="方正书宋_GBK" w:cs="方正书宋_GBK"/>
          <w:sz w:val="22"/>
          <w:szCs w:val="22"/>
        </w:rPr>
      </w:pPr>
      <w:r>
        <w:rPr>
          <w:rFonts w:ascii="方正书宋_GBK" w:hAnsi="方正书宋_GBK" w:cs="方正书宋_GBK" w:eastAsia="方正书宋_GBK"/>
          <w:b/>
          <w:bCs/>
          <w:sz w:val="22"/>
          <w:szCs w:val="22"/>
        </w:rPr>
        <w:t>第十五条  不可抗力的约定</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本合同执行期间，如遇不可抗力，致使合同无法履行时，双方应当按有关法律规定及时协商处理。</w:t>
      </w:r>
    </w:p>
    <w:p>
      <w:pPr>
        <w:pStyle w:val="Normal"/>
        <w:keepNext w:val="false"/>
        <w:keepLines w:val="false"/>
        <w:pageBreakBefore w:val="false"/>
        <w:widowControl w:val="false"/>
        <w:kinsoku w:val="true"/>
        <w:overflowPunct w:val="true"/>
        <w:autoSpaceDE w:val="true"/>
        <w:bidi w:val="0"/>
        <w:snapToGrid w:val="false"/>
        <w:spacing w:lineRule="exact" w:line="420"/>
        <w:ind w:firstLine="442" w:end="0"/>
        <w:textAlignment w:val="auto"/>
        <w:rPr>
          <w:rFonts w:ascii="方正书宋_GBK" w:hAnsi="方正书宋_GBK" w:eastAsia="方正书宋_GBK" w:cs="方正书宋_GBK"/>
          <w:sz w:val="22"/>
          <w:szCs w:val="22"/>
        </w:rPr>
      </w:pPr>
      <w:r>
        <w:rPr>
          <w:rFonts w:ascii="方正书宋_GBK" w:hAnsi="方正书宋_GBK" w:cs="方正书宋_GBK" w:eastAsia="方正书宋_GBK"/>
          <w:b/>
          <w:bCs/>
          <w:sz w:val="22"/>
          <w:szCs w:val="22"/>
        </w:rPr>
        <w:t>第十六条  免责条款</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以下情况乙方不承担责任：</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、乙方已履行本合同约定义务，但因物业本身固有瑕疵造成损失的；</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、因维修养护物业共用部位、共用设施设备需要且事先已告知业主和物业使用人，暂时停水、停电、停止共用设施设备使用等造成损失的；</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、因非乙方责任出现供水、供电、供气、供热、通讯、有线电视及其他共用设施设备运行障碍造成损失的；</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4</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false"/>
        <w:spacing w:lineRule="exact" w:line="420"/>
        <w:ind w:firstLine="442" w:end="0"/>
        <w:textAlignment w:val="auto"/>
        <w:rPr>
          <w:rFonts w:ascii="方正书宋_GBK" w:hAnsi="方正书宋_GBK" w:eastAsia="方正书宋_GBK" w:cs="方正书宋_GBK"/>
          <w:sz w:val="22"/>
          <w:szCs w:val="22"/>
        </w:rPr>
      </w:pPr>
      <w:r>
        <w:rPr>
          <w:rFonts w:ascii="方正书宋_GBK" w:hAnsi="方正书宋_GBK" w:cs="方正书宋_GBK" w:eastAsia="方正书宋_GBK"/>
          <w:b/>
          <w:bCs/>
          <w:sz w:val="22"/>
          <w:szCs w:val="22"/>
        </w:rPr>
        <w:t>第十七条  争议处理</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本合同在履行中如发生争议，双方应当协商解决或者报请物业管理行政主管部门进行调解，协商或者调解不成的，按下列第</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种方式处理：</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、向</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仲裁委员会申请仲裁；</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、向人民法院提起诉讼。</w:t>
      </w:r>
    </w:p>
    <w:p>
      <w:pPr>
        <w:pStyle w:val="Normal"/>
        <w:keepNext w:val="false"/>
        <w:keepLines w:val="false"/>
        <w:pageBreakBefore w:val="false"/>
        <w:widowControl w:val="false"/>
        <w:kinsoku w:val="true"/>
        <w:overflowPunct w:val="true"/>
        <w:autoSpaceDE w:val="true"/>
        <w:bidi w:val="0"/>
        <w:snapToGrid w:val="false"/>
        <w:spacing w:lineRule="exact" w:line="420"/>
        <w:ind w:firstLine="442" w:end="0"/>
        <w:textAlignment w:val="auto"/>
        <w:rPr>
          <w:rFonts w:ascii="方正书宋_GBK" w:hAnsi="方正书宋_GBK" w:eastAsia="方正书宋_GBK" w:cs="方正书宋_GBK"/>
          <w:sz w:val="22"/>
          <w:szCs w:val="22"/>
        </w:rPr>
      </w:pPr>
      <w:r>
        <w:rPr>
          <w:rFonts w:ascii="方正书宋_GBK" w:hAnsi="方正书宋_GBK" w:cs="方正书宋_GBK" w:eastAsia="方正书宋_GBK"/>
          <w:b/>
          <w:bCs/>
          <w:sz w:val="22"/>
          <w:szCs w:val="22"/>
        </w:rPr>
        <w:t>第十八条  合同附件</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（一）双方可以对本合同的条款进行补充，以书面形式签订补充协议，补充协议与本合同具有同等效力。</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（二）本合同附件均为合同有效组成部分。本合同及其附件内空格部分填写的文字与印刷文字具有同等效力。</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本合同及其附件和补充协议中未规定的事宜，均遵照国家和本市有关法律、法规和规章执行。</w:t>
      </w:r>
    </w:p>
    <w:p>
      <w:pPr>
        <w:pStyle w:val="Normal"/>
        <w:keepNext w:val="false"/>
        <w:keepLines w:val="false"/>
        <w:pageBreakBefore w:val="false"/>
        <w:widowControl w:val="false"/>
        <w:kinsoku w:val="true"/>
        <w:overflowPunct w:val="true"/>
        <w:autoSpaceDE w:val="true"/>
        <w:bidi w:val="0"/>
        <w:snapToGrid w:val="false"/>
        <w:spacing w:lineRule="exact" w:line="420"/>
        <w:ind w:firstLine="442" w:end="0"/>
        <w:textAlignment w:val="auto"/>
        <w:rPr>
          <w:rFonts w:ascii="方正书宋_GBK" w:hAnsi="方正书宋_GBK" w:eastAsia="方正书宋_GBK" w:cs="方正书宋_GBK"/>
          <w:b/>
          <w:bCs/>
          <w:sz w:val="22"/>
          <w:szCs w:val="22"/>
        </w:rPr>
      </w:pPr>
      <w:r>
        <w:rPr>
          <w:rFonts w:ascii="方正书宋_GBK" w:hAnsi="方正书宋_GBK" w:cs="方正书宋_GBK" w:eastAsia="方正书宋_GBK"/>
          <w:b/>
          <w:bCs/>
          <w:sz w:val="22"/>
          <w:szCs w:val="22"/>
        </w:rPr>
        <w:t>第十九条  合同备案</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（一）本合同正本连同补充协议及附件共  页，一式三份，甲乙双方及区</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县</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物业管理行政主管部门</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备案</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各执一份，具有同等法律效力。</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（二）本合同签订之日起三十日内，乙方持本合同到项目所属的区县物业管理行政主管部门办理备案。</w:t>
      </w:r>
    </w:p>
    <w:p>
      <w:pPr>
        <w:pStyle w:val="Normal"/>
        <w:keepNext w:val="false"/>
        <w:keepLines w:val="false"/>
        <w:pageBreakBefore w:val="false"/>
        <w:widowControl w:val="false"/>
        <w:kinsoku w:val="true"/>
        <w:overflowPunct w:val="true"/>
        <w:autoSpaceDE w:val="true"/>
        <w:bidi w:val="0"/>
        <w:snapToGrid w:val="false"/>
        <w:spacing w:lineRule="exact" w:line="420"/>
        <w:ind w:firstLine="442" w:end="0"/>
        <w:textAlignment w:val="auto"/>
        <w:rPr>
          <w:rFonts w:ascii="方正书宋_GBK" w:hAnsi="方正书宋_GBK" w:eastAsia="方正书宋_GBK" w:cs="方正书宋_GBK"/>
          <w:sz w:val="22"/>
          <w:szCs w:val="22"/>
        </w:rPr>
      </w:pPr>
      <w:r>
        <w:rPr>
          <w:rFonts w:ascii="方正书宋_GBK" w:hAnsi="方正书宋_GBK" w:cs="方正书宋_GBK" w:eastAsia="方正书宋_GBK"/>
          <w:b/>
          <w:bCs/>
          <w:sz w:val="22"/>
          <w:szCs w:val="22"/>
        </w:rPr>
        <w:t>第二十条  其他约定事项</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rPr>
        <w:t>（一）</w:t>
      </w:r>
      <w:r>
        <w:rPr>
          <w:rFonts w:ascii="方正书宋_GBK" w:hAnsi="方正书宋_GBK" w:cs="方正书宋_GBK" w:eastAsia="方正书宋_GBK"/>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（二）</w:t>
      </w:r>
      <w:r>
        <w:rPr>
          <w:rFonts w:ascii="方正书宋_GBK" w:hAnsi="方正书宋_GBK" w:cs="方正书宋_GBK" w:eastAsia="方正书宋_GBK"/>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（三）</w:t>
      </w:r>
      <w:r>
        <w:rPr>
          <w:rFonts w:ascii="方正书宋_GBK" w:hAnsi="方正书宋_GBK" w:cs="方正书宋_GBK" w:eastAsia="方正书宋_GBK"/>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（四）</w:t>
      </w:r>
      <w:r>
        <w:rPr>
          <w:rFonts w:ascii="方正书宋_GBK" w:hAnsi="方正书宋_GBK" w:cs="方正书宋_GBK" w:eastAsia="方正书宋_GBK"/>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false"/>
        <w:spacing w:lineRule="exact" w:line="420"/>
        <w:ind w:firstLine="442" w:end="0"/>
        <w:textAlignment w:val="auto"/>
        <w:rPr>
          <w:rFonts w:ascii="方正书宋_GBK" w:hAnsi="方正书宋_GBK" w:eastAsia="方正书宋_GBK" w:cs="方正书宋_GBK"/>
          <w:b/>
          <w:bCs/>
          <w:sz w:val="22"/>
          <w:szCs w:val="22"/>
        </w:rPr>
      </w:pPr>
      <w:r>
        <w:rPr>
          <w:rFonts w:ascii="方正书宋_GBK" w:hAnsi="方正书宋_GBK" w:cs="方正书宋_GBK" w:eastAsia="方正书宋_GBK"/>
          <w:b/>
          <w:bCs/>
          <w:sz w:val="22"/>
          <w:szCs w:val="22"/>
        </w:rPr>
        <w:t>第二十一条  合同的解除</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本合同期限届满前三个月，甲乙双方经协商不再续约的，乙方应当书面告知街道办事处或者乡镇人民政府，并到物业所在地的区、县物业管理行政主管部门备案，履行撤出程序，按照规定办理相关交接手续。</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乙方应该继续按照合同约定做好服务，协助甲方选聘新的物业服务企业；业主应当按时交纳物业管理服务费，至合同终止。</w:t>
      </w:r>
    </w:p>
    <w:p>
      <w:pPr>
        <w:pStyle w:val="Normal"/>
        <w:keepNext w:val="false"/>
        <w:keepLines w:val="false"/>
        <w:pageBreakBefore w:val="false"/>
        <w:widowControl w:val="false"/>
        <w:kinsoku w:val="true"/>
        <w:overflowPunct w:val="true"/>
        <w:autoSpaceDE w:val="true"/>
        <w:bidi w:val="0"/>
        <w:snapToGrid w:val="false"/>
        <w:spacing w:lineRule="exact" w:line="420"/>
        <w:ind w:firstLine="442" w:end="0"/>
        <w:textAlignment w:val="auto"/>
        <w:rPr>
          <w:rFonts w:ascii="方正书宋_GBK" w:hAnsi="方正书宋_GBK" w:eastAsia="方正书宋_GBK" w:cs="方正书宋_GBK"/>
          <w:b/>
          <w:bCs/>
          <w:sz w:val="22"/>
          <w:szCs w:val="22"/>
        </w:rPr>
      </w:pPr>
      <w:r>
        <w:rPr>
          <w:rFonts w:ascii="方正书宋_GBK" w:hAnsi="方正书宋_GBK" w:cs="方正书宋_GBK" w:eastAsia="方正书宋_GBK"/>
          <w:b/>
          <w:bCs/>
          <w:sz w:val="22"/>
          <w:szCs w:val="22"/>
        </w:rPr>
        <w:t>第二十二条  合同续约及生效</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（一）本合同期限届满三个月前，乙方与甲方协商续约事宜，双方同意续约的，应当重新签订物业服务合同。</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（二）本合同自签订之日起生效。</w:t>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甲方（业主大会）：              乙方（物业服务企业）：</w:t>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住所：                         住所：</w:t>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业主委员会主任：               法定代表人：</w:t>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委托代理人：                   委托代理人：</w:t>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邮政编码：                     邮政编码：</w:t>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电话：                         电话：</w:t>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传真：                         传真：</w:t>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      </w:t>
      </w:r>
      <w:r>
        <w:rPr>
          <w:rFonts w:ascii="方正书宋_GBK" w:hAnsi="方正书宋_GBK" w:cs="方正书宋_GBK" w:eastAsia="方正书宋_GBK"/>
          <w:sz w:val="22"/>
          <w:szCs w:val="22"/>
        </w:rPr>
        <w:t>年    月    日                 年  月    日</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楷体_GBK" w:hAnsi="方正楷体_GBK" w:eastAsia="方正楷体_GBK" w:cs="方正楷体_GBK"/>
          <w:sz w:val="28"/>
          <w:szCs w:val="28"/>
        </w:rPr>
      </w:pPr>
      <w:r>
        <w:rPr>
          <w:rFonts w:ascii="方正楷体_GBK" w:hAnsi="方正楷体_GBK" w:cs="方正楷体_GBK" w:eastAsia="方正楷体_GBK"/>
          <w:sz w:val="28"/>
          <w:szCs w:val="28"/>
        </w:rPr>
        <w:t>附表一</w:t>
      </w:r>
    </w:p>
    <w:p>
      <w:pPr>
        <w:pStyle w:val="Normal"/>
        <w:keepNext w:val="false"/>
        <w:keepLines w:val="false"/>
        <w:pageBreakBefore w:val="false"/>
        <w:widowControl w:val="false"/>
        <w:kinsoku w:val="true"/>
        <w:overflowPunct w:val="true"/>
        <w:autoSpaceDE w:val="true"/>
        <w:bidi w:val="0"/>
        <w:snapToGrid w:val="false"/>
        <w:spacing w:lineRule="exact" w:line="420"/>
        <w:jc w:val="center"/>
        <w:textAlignment w:val="auto"/>
        <w:rPr>
          <w:rFonts w:ascii="方正黑体_GBK" w:hAnsi="方正黑体_GBK" w:eastAsia="方正黑体_GBK" w:cs="方正黑体_GBK"/>
          <w:sz w:val="28"/>
          <w:szCs w:val="28"/>
        </w:rPr>
      </w:pPr>
      <w:r>
        <w:rPr>
          <w:rFonts w:ascii="方正黑体_GBK" w:hAnsi="方正黑体_GBK" w:cs="方正黑体_GBK" w:eastAsia="方正黑体_GBK"/>
          <w:sz w:val="28"/>
          <w:szCs w:val="28"/>
        </w:rPr>
        <w:t>物业构成细目</w:t>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一、房屋建筑细目</w:t>
      </w:r>
    </w:p>
    <w:tbl>
      <w:tblPr>
        <w:tblW w:w="6634" w:type="dxa"/>
        <w:jc w:val="start"/>
        <w:tblInd w:w="0" w:type="dxa"/>
        <w:tblLayout w:type="fixed"/>
        <w:tblCellMar>
          <w:top w:w="0" w:type="dxa"/>
          <w:start w:w="57" w:type="dxa"/>
          <w:bottom w:w="0" w:type="dxa"/>
          <w:end w:w="57" w:type="dxa"/>
        </w:tblCellMar>
      </w:tblPr>
      <w:tblGrid>
        <w:gridCol w:w="1325"/>
        <w:gridCol w:w="1924"/>
        <w:gridCol w:w="1036"/>
        <w:gridCol w:w="952"/>
        <w:gridCol w:w="1397"/>
      </w:tblGrid>
      <w:tr>
        <w:trPr>
          <w:trHeight w:val="510" w:hRule="atLeast"/>
        </w:trPr>
        <w:tc>
          <w:tcPr>
            <w:tcW w:w="132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18"/>
                <w:szCs w:val="18"/>
              </w:rPr>
            </w:pPr>
            <w:r>
              <w:rPr>
                <w:rFonts w:ascii="方正书宋_GBK" w:hAnsi="方正书宋_GBK" w:cs="方正书宋_GBK" w:eastAsia="方正书宋_GBK"/>
                <w:sz w:val="18"/>
                <w:szCs w:val="18"/>
              </w:rPr>
              <w:t>楼  号</w:t>
            </w:r>
          </w:p>
        </w:tc>
        <w:tc>
          <w:tcPr>
            <w:tcW w:w="192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18"/>
                <w:szCs w:val="18"/>
              </w:rPr>
            </w:pPr>
            <w:r>
              <w:rPr>
                <w:rFonts w:ascii="方正书宋_GBK" w:hAnsi="方正书宋_GBK" w:cs="方正书宋_GBK" w:eastAsia="方正书宋_GBK"/>
                <w:sz w:val="18"/>
                <w:szCs w:val="18"/>
              </w:rPr>
              <w:t>建筑面积</w:t>
            </w:r>
          </w:p>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18"/>
                <w:szCs w:val="18"/>
              </w:rPr>
            </w:pPr>
            <w:r>
              <w:rPr>
                <w:rFonts w:ascii="方正书宋_GBK" w:hAnsi="方正书宋_GBK" w:cs="方正书宋_GBK" w:eastAsia="方正书宋_GBK"/>
                <w:sz w:val="18"/>
                <w:szCs w:val="18"/>
              </w:rPr>
              <w:t>（平方米）</w:t>
            </w:r>
          </w:p>
        </w:tc>
        <w:tc>
          <w:tcPr>
            <w:tcW w:w="103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18"/>
                <w:szCs w:val="18"/>
              </w:rPr>
            </w:pPr>
            <w:r>
              <w:rPr>
                <w:rFonts w:ascii="方正书宋_GBK" w:hAnsi="方正书宋_GBK" w:cs="方正书宋_GBK" w:eastAsia="方正书宋_GBK"/>
                <w:sz w:val="18"/>
                <w:szCs w:val="18"/>
              </w:rPr>
              <w:t>结   构</w:t>
            </w:r>
          </w:p>
        </w:tc>
        <w:tc>
          <w:tcPr>
            <w:tcW w:w="95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18"/>
                <w:szCs w:val="18"/>
              </w:rPr>
            </w:pPr>
            <w:r>
              <w:rPr>
                <w:rFonts w:ascii="方正书宋_GBK" w:hAnsi="方正书宋_GBK" w:cs="方正书宋_GBK" w:eastAsia="方正书宋_GBK"/>
                <w:sz w:val="18"/>
                <w:szCs w:val="18"/>
              </w:rPr>
              <w:t>总层数</w:t>
            </w:r>
          </w:p>
        </w:tc>
        <w:tc>
          <w:tcPr>
            <w:tcW w:w="139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18"/>
                <w:szCs w:val="18"/>
              </w:rPr>
            </w:pPr>
            <w:r>
              <w:rPr>
                <w:rFonts w:ascii="方正书宋_GBK" w:hAnsi="方正书宋_GBK" w:cs="方正书宋_GBK" w:eastAsia="方正书宋_GBK"/>
                <w:sz w:val="18"/>
                <w:szCs w:val="18"/>
              </w:rPr>
              <w:t>备   注</w:t>
            </w:r>
          </w:p>
        </w:tc>
      </w:tr>
      <w:tr>
        <w:trPr>
          <w:trHeight w:val="510" w:hRule="atLeast"/>
        </w:trPr>
        <w:tc>
          <w:tcPr>
            <w:tcW w:w="132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92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03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95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39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r>
      <w:tr>
        <w:trPr>
          <w:trHeight w:val="510" w:hRule="atLeast"/>
        </w:trPr>
        <w:tc>
          <w:tcPr>
            <w:tcW w:w="132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92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03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95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39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r>
      <w:tr>
        <w:trPr>
          <w:trHeight w:val="510" w:hRule="atLeast"/>
        </w:trPr>
        <w:tc>
          <w:tcPr>
            <w:tcW w:w="132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92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03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95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39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r>
      <w:tr>
        <w:trPr>
          <w:trHeight w:val="510" w:hRule="atLeast"/>
        </w:trPr>
        <w:tc>
          <w:tcPr>
            <w:tcW w:w="132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92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03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95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39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r>
      <w:tr>
        <w:trPr>
          <w:trHeight w:val="510" w:hRule="atLeast"/>
        </w:trPr>
        <w:tc>
          <w:tcPr>
            <w:tcW w:w="132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92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03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95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39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r>
      <w:tr>
        <w:trPr>
          <w:trHeight w:val="510" w:hRule="atLeast"/>
        </w:trPr>
        <w:tc>
          <w:tcPr>
            <w:tcW w:w="132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92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03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95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39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r>
      <w:tr>
        <w:trPr>
          <w:trHeight w:val="510" w:hRule="atLeast"/>
        </w:trPr>
        <w:tc>
          <w:tcPr>
            <w:tcW w:w="132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92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03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95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39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r>
      <w:tr>
        <w:trPr>
          <w:trHeight w:val="510" w:hRule="atLeast"/>
        </w:trPr>
        <w:tc>
          <w:tcPr>
            <w:tcW w:w="132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92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03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95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39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r>
      <w:tr>
        <w:trPr>
          <w:trHeight w:val="510" w:hRule="atLeast"/>
        </w:trPr>
        <w:tc>
          <w:tcPr>
            <w:tcW w:w="132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92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03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95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39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r>
      <w:tr>
        <w:trPr>
          <w:trHeight w:val="510" w:hRule="atLeast"/>
        </w:trPr>
        <w:tc>
          <w:tcPr>
            <w:tcW w:w="132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92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03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95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39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r>
      <w:tr>
        <w:trPr>
          <w:trHeight w:val="510" w:hRule="atLeast"/>
        </w:trPr>
        <w:tc>
          <w:tcPr>
            <w:tcW w:w="132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92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03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95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39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r>
      <w:tr>
        <w:trPr>
          <w:trHeight w:val="510" w:hRule="atLeast"/>
        </w:trPr>
        <w:tc>
          <w:tcPr>
            <w:tcW w:w="132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92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03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95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39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r>
      <w:tr>
        <w:trPr>
          <w:trHeight w:val="510" w:hRule="atLeast"/>
        </w:trPr>
        <w:tc>
          <w:tcPr>
            <w:tcW w:w="132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92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03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95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39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r>
    </w:tbl>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总计：楼</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幢       门</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个</w:t>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楷体_GBK" w:hAnsi="方正楷体_GBK" w:eastAsia="方正楷体_GBK" w:cs="方正楷体_GBK"/>
          <w:sz w:val="28"/>
          <w:szCs w:val="28"/>
        </w:rPr>
      </w:pPr>
      <w:r>
        <w:rPr>
          <w:rFonts w:ascii="方正楷体_GBK" w:hAnsi="方正楷体_GBK" w:cs="方正楷体_GBK" w:eastAsia="方正楷体_GBK"/>
          <w:sz w:val="28"/>
          <w:szCs w:val="28"/>
        </w:rPr>
        <w:t>附表二</w:t>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二、设施细目</w:t>
      </w:r>
    </w:p>
    <w:tbl>
      <w:tblPr>
        <w:tblW w:w="6736" w:type="dxa"/>
        <w:jc w:val="start"/>
        <w:tblInd w:w="0" w:type="dxa"/>
        <w:tblLayout w:type="fixed"/>
        <w:tblCellMar>
          <w:top w:w="0" w:type="dxa"/>
          <w:start w:w="108" w:type="dxa"/>
          <w:bottom w:w="0" w:type="dxa"/>
          <w:end w:w="108" w:type="dxa"/>
        </w:tblCellMar>
      </w:tblPr>
      <w:tblGrid>
        <w:gridCol w:w="1130"/>
        <w:gridCol w:w="2226"/>
        <w:gridCol w:w="910"/>
        <w:gridCol w:w="868"/>
        <w:gridCol w:w="1602"/>
      </w:tblGrid>
      <w:tr>
        <w:trPr>
          <w:trHeight w:val="510" w:hRule="atLeast"/>
        </w:trPr>
        <w:tc>
          <w:tcPr>
            <w:tcW w:w="113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18"/>
                <w:szCs w:val="18"/>
              </w:rPr>
            </w:pPr>
            <w:r>
              <w:rPr>
                <w:rFonts w:ascii="方正书宋_GBK" w:hAnsi="方正书宋_GBK" w:cs="方正书宋_GBK" w:eastAsia="方正书宋_GBK"/>
                <w:sz w:val="18"/>
                <w:szCs w:val="18"/>
              </w:rPr>
              <w:t>项目内容</w:t>
            </w:r>
          </w:p>
        </w:tc>
        <w:tc>
          <w:tcPr>
            <w:tcW w:w="222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18"/>
                <w:szCs w:val="18"/>
              </w:rPr>
            </w:pPr>
            <w:r>
              <w:rPr>
                <w:rFonts w:ascii="方正书宋_GBK" w:hAnsi="方正书宋_GBK" w:cs="方正书宋_GBK" w:eastAsia="方正书宋_GBK"/>
                <w:sz w:val="18"/>
                <w:szCs w:val="18"/>
              </w:rPr>
              <w:t>型       号</w:t>
            </w:r>
          </w:p>
        </w:tc>
        <w:tc>
          <w:tcPr>
            <w:tcW w:w="91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18"/>
                <w:szCs w:val="18"/>
              </w:rPr>
            </w:pPr>
            <w:r>
              <w:rPr>
                <w:rFonts w:ascii="方正书宋_GBK" w:hAnsi="方正书宋_GBK" w:cs="方正书宋_GBK" w:eastAsia="方正书宋_GBK"/>
                <w:sz w:val="18"/>
                <w:szCs w:val="18"/>
              </w:rPr>
              <w:t>单  位</w:t>
            </w:r>
          </w:p>
        </w:tc>
        <w:tc>
          <w:tcPr>
            <w:tcW w:w="86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18"/>
                <w:szCs w:val="18"/>
              </w:rPr>
            </w:pPr>
            <w:r>
              <w:rPr>
                <w:rFonts w:ascii="方正书宋_GBK" w:hAnsi="方正书宋_GBK" w:cs="方正书宋_GBK" w:eastAsia="方正书宋_GBK"/>
                <w:sz w:val="18"/>
                <w:szCs w:val="18"/>
              </w:rPr>
              <w:t>数  量</w:t>
            </w:r>
          </w:p>
        </w:tc>
        <w:tc>
          <w:tcPr>
            <w:tcW w:w="160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18"/>
                <w:szCs w:val="18"/>
              </w:rPr>
            </w:pPr>
            <w:r>
              <w:rPr>
                <w:rFonts w:ascii="方正书宋_GBK" w:hAnsi="方正书宋_GBK" w:cs="方正书宋_GBK" w:eastAsia="方正书宋_GBK"/>
                <w:sz w:val="18"/>
                <w:szCs w:val="18"/>
              </w:rPr>
              <w:t>备   注</w:t>
            </w:r>
          </w:p>
        </w:tc>
      </w:tr>
      <w:tr>
        <w:trPr>
          <w:trHeight w:val="510" w:hRule="atLeast"/>
        </w:trPr>
        <w:tc>
          <w:tcPr>
            <w:tcW w:w="113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222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91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86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60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r>
      <w:tr>
        <w:trPr>
          <w:trHeight w:val="510" w:hRule="atLeast"/>
        </w:trPr>
        <w:tc>
          <w:tcPr>
            <w:tcW w:w="113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222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91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86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60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r>
      <w:tr>
        <w:trPr>
          <w:trHeight w:val="510" w:hRule="atLeast"/>
        </w:trPr>
        <w:tc>
          <w:tcPr>
            <w:tcW w:w="113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222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91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86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60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r>
      <w:tr>
        <w:trPr>
          <w:trHeight w:val="510" w:hRule="atLeast"/>
        </w:trPr>
        <w:tc>
          <w:tcPr>
            <w:tcW w:w="113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222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91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86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60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r>
      <w:tr>
        <w:trPr>
          <w:trHeight w:val="510" w:hRule="atLeast"/>
        </w:trPr>
        <w:tc>
          <w:tcPr>
            <w:tcW w:w="113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222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91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86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60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r>
      <w:tr>
        <w:trPr>
          <w:trHeight w:val="510" w:hRule="atLeast"/>
        </w:trPr>
        <w:tc>
          <w:tcPr>
            <w:tcW w:w="113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222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91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86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60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r>
      <w:tr>
        <w:trPr>
          <w:trHeight w:val="510" w:hRule="atLeast"/>
        </w:trPr>
        <w:tc>
          <w:tcPr>
            <w:tcW w:w="113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222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91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86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60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r>
      <w:tr>
        <w:trPr>
          <w:trHeight w:val="510" w:hRule="atLeast"/>
        </w:trPr>
        <w:tc>
          <w:tcPr>
            <w:tcW w:w="113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222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91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86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60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r>
      <w:tr>
        <w:trPr>
          <w:trHeight w:val="510" w:hRule="atLeast"/>
        </w:trPr>
        <w:tc>
          <w:tcPr>
            <w:tcW w:w="113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222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91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86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60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r>
      <w:tr>
        <w:trPr>
          <w:trHeight w:val="510" w:hRule="atLeast"/>
        </w:trPr>
        <w:tc>
          <w:tcPr>
            <w:tcW w:w="113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222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91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86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60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r>
      <w:tr>
        <w:trPr>
          <w:trHeight w:val="510" w:hRule="atLeast"/>
        </w:trPr>
        <w:tc>
          <w:tcPr>
            <w:tcW w:w="113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222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91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86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60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r>
      <w:tr>
        <w:trPr>
          <w:trHeight w:val="510" w:hRule="atLeast"/>
        </w:trPr>
        <w:tc>
          <w:tcPr>
            <w:tcW w:w="113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222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91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86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60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r>
      <w:tr>
        <w:trPr>
          <w:trHeight w:val="510" w:hRule="atLeast"/>
        </w:trPr>
        <w:tc>
          <w:tcPr>
            <w:tcW w:w="113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222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91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86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60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r>
      <w:tr>
        <w:trPr>
          <w:trHeight w:val="510" w:hRule="atLeast"/>
        </w:trPr>
        <w:tc>
          <w:tcPr>
            <w:tcW w:w="113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222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91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86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60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r>
      <w:tr>
        <w:trPr>
          <w:trHeight w:val="510" w:hRule="atLeast"/>
        </w:trPr>
        <w:tc>
          <w:tcPr>
            <w:tcW w:w="113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222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91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86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60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r>
      <w:tr>
        <w:trPr>
          <w:trHeight w:val="510" w:hRule="atLeast"/>
        </w:trPr>
        <w:tc>
          <w:tcPr>
            <w:tcW w:w="113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222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91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86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60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r>
    </w:tbl>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ascii="方正楷体_GBK" w:hAnsi="方正楷体_GBK" w:cs="方正楷体_GBK" w:eastAsia="方正楷体_GBK"/>
          <w:sz w:val="22"/>
          <w:szCs w:val="22"/>
        </w:rPr>
        <w:t>附表三</w:t>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三、设施细目</w:t>
      </w:r>
    </w:p>
    <w:tbl>
      <w:tblPr>
        <w:tblW w:w="6736" w:type="dxa"/>
        <w:jc w:val="start"/>
        <w:tblInd w:w="0" w:type="dxa"/>
        <w:tblLayout w:type="fixed"/>
        <w:tblCellMar>
          <w:top w:w="0" w:type="dxa"/>
          <w:start w:w="108" w:type="dxa"/>
          <w:bottom w:w="0" w:type="dxa"/>
          <w:end w:w="108" w:type="dxa"/>
        </w:tblCellMar>
      </w:tblPr>
      <w:tblGrid>
        <w:gridCol w:w="1130"/>
        <w:gridCol w:w="2226"/>
        <w:gridCol w:w="910"/>
        <w:gridCol w:w="868"/>
        <w:gridCol w:w="1602"/>
      </w:tblGrid>
      <w:tr>
        <w:trPr>
          <w:trHeight w:val="510" w:hRule="atLeast"/>
        </w:trPr>
        <w:tc>
          <w:tcPr>
            <w:tcW w:w="113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18"/>
                <w:szCs w:val="18"/>
              </w:rPr>
            </w:pPr>
            <w:r>
              <w:rPr>
                <w:rFonts w:ascii="方正书宋_GBK" w:hAnsi="方正书宋_GBK" w:cs="方正书宋_GBK" w:eastAsia="方正书宋_GBK"/>
                <w:sz w:val="18"/>
                <w:szCs w:val="18"/>
              </w:rPr>
              <w:t>项目内容</w:t>
            </w:r>
          </w:p>
        </w:tc>
        <w:tc>
          <w:tcPr>
            <w:tcW w:w="222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18"/>
                <w:szCs w:val="18"/>
              </w:rPr>
            </w:pPr>
            <w:r>
              <w:rPr>
                <w:rFonts w:ascii="方正书宋_GBK" w:hAnsi="方正书宋_GBK" w:cs="方正书宋_GBK" w:eastAsia="方正书宋_GBK"/>
                <w:sz w:val="18"/>
                <w:szCs w:val="18"/>
              </w:rPr>
              <w:t>型       号</w:t>
            </w:r>
          </w:p>
        </w:tc>
        <w:tc>
          <w:tcPr>
            <w:tcW w:w="91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18"/>
                <w:szCs w:val="18"/>
              </w:rPr>
            </w:pPr>
            <w:r>
              <w:rPr>
                <w:rFonts w:ascii="方正书宋_GBK" w:hAnsi="方正书宋_GBK" w:cs="方正书宋_GBK" w:eastAsia="方正书宋_GBK"/>
                <w:sz w:val="18"/>
                <w:szCs w:val="18"/>
              </w:rPr>
              <w:t>单  位</w:t>
            </w:r>
          </w:p>
        </w:tc>
        <w:tc>
          <w:tcPr>
            <w:tcW w:w="86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18"/>
                <w:szCs w:val="18"/>
              </w:rPr>
            </w:pPr>
            <w:r>
              <w:rPr>
                <w:rFonts w:ascii="方正书宋_GBK" w:hAnsi="方正书宋_GBK" w:cs="方正书宋_GBK" w:eastAsia="方正书宋_GBK"/>
                <w:sz w:val="18"/>
                <w:szCs w:val="18"/>
              </w:rPr>
              <w:t>数  量</w:t>
            </w:r>
          </w:p>
        </w:tc>
        <w:tc>
          <w:tcPr>
            <w:tcW w:w="160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18"/>
                <w:szCs w:val="18"/>
              </w:rPr>
            </w:pPr>
            <w:r>
              <w:rPr>
                <w:rFonts w:ascii="方正书宋_GBK" w:hAnsi="方正书宋_GBK" w:cs="方正书宋_GBK" w:eastAsia="方正书宋_GBK"/>
                <w:sz w:val="18"/>
                <w:szCs w:val="18"/>
              </w:rPr>
              <w:t>备   注</w:t>
            </w:r>
          </w:p>
        </w:tc>
      </w:tr>
      <w:tr>
        <w:trPr>
          <w:trHeight w:val="510" w:hRule="atLeast"/>
        </w:trPr>
        <w:tc>
          <w:tcPr>
            <w:tcW w:w="113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222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91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86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60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r>
      <w:tr>
        <w:trPr>
          <w:trHeight w:val="510" w:hRule="atLeast"/>
        </w:trPr>
        <w:tc>
          <w:tcPr>
            <w:tcW w:w="113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222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91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86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60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r>
      <w:tr>
        <w:trPr>
          <w:trHeight w:val="510" w:hRule="atLeast"/>
        </w:trPr>
        <w:tc>
          <w:tcPr>
            <w:tcW w:w="113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222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91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86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60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r>
      <w:tr>
        <w:trPr>
          <w:trHeight w:val="510" w:hRule="atLeast"/>
        </w:trPr>
        <w:tc>
          <w:tcPr>
            <w:tcW w:w="113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222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91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86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60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r>
      <w:tr>
        <w:trPr>
          <w:trHeight w:val="510" w:hRule="atLeast"/>
        </w:trPr>
        <w:tc>
          <w:tcPr>
            <w:tcW w:w="113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222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91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86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60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r>
      <w:tr>
        <w:trPr>
          <w:trHeight w:val="510" w:hRule="atLeast"/>
        </w:trPr>
        <w:tc>
          <w:tcPr>
            <w:tcW w:w="113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222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91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86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60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r>
      <w:tr>
        <w:trPr>
          <w:trHeight w:val="510" w:hRule="atLeast"/>
        </w:trPr>
        <w:tc>
          <w:tcPr>
            <w:tcW w:w="113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222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91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86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60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r>
      <w:tr>
        <w:trPr>
          <w:trHeight w:val="510" w:hRule="atLeast"/>
        </w:trPr>
        <w:tc>
          <w:tcPr>
            <w:tcW w:w="113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222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91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86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60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r>
      <w:tr>
        <w:trPr>
          <w:trHeight w:val="510" w:hRule="atLeast"/>
        </w:trPr>
        <w:tc>
          <w:tcPr>
            <w:tcW w:w="113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222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91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86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60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r>
      <w:tr>
        <w:trPr>
          <w:trHeight w:val="510" w:hRule="atLeast"/>
        </w:trPr>
        <w:tc>
          <w:tcPr>
            <w:tcW w:w="113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222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91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86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60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r>
      <w:tr>
        <w:trPr>
          <w:trHeight w:val="510" w:hRule="atLeast"/>
        </w:trPr>
        <w:tc>
          <w:tcPr>
            <w:tcW w:w="113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222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91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86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60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r>
      <w:tr>
        <w:trPr>
          <w:trHeight w:val="510" w:hRule="atLeast"/>
        </w:trPr>
        <w:tc>
          <w:tcPr>
            <w:tcW w:w="113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222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91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86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60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r>
      <w:tr>
        <w:trPr>
          <w:trHeight w:val="510" w:hRule="atLeast"/>
        </w:trPr>
        <w:tc>
          <w:tcPr>
            <w:tcW w:w="113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222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91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86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60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r>
      <w:tr>
        <w:trPr>
          <w:trHeight w:val="510" w:hRule="atLeast"/>
        </w:trPr>
        <w:tc>
          <w:tcPr>
            <w:tcW w:w="113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222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91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86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60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r>
      <w:tr>
        <w:trPr>
          <w:trHeight w:val="510" w:hRule="atLeast"/>
        </w:trPr>
        <w:tc>
          <w:tcPr>
            <w:tcW w:w="113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222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91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86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60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r>
      <w:tr>
        <w:trPr>
          <w:trHeight w:val="510" w:hRule="atLeast"/>
        </w:trPr>
        <w:tc>
          <w:tcPr>
            <w:tcW w:w="113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222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91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86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60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r>
    </w:tbl>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楷体_GBK" w:hAnsi="方正楷体_GBK" w:eastAsia="方正楷体_GBK" w:cs="方正楷体_GBK"/>
          <w:sz w:val="28"/>
          <w:szCs w:val="28"/>
        </w:rPr>
      </w:pPr>
      <w:r>
        <w:rPr>
          <w:rFonts w:ascii="方正楷体_GBK" w:hAnsi="方正楷体_GBK" w:cs="方正楷体_GBK" w:eastAsia="方正楷体_GBK"/>
          <w:sz w:val="28"/>
          <w:szCs w:val="28"/>
        </w:rPr>
        <w:t>附表四</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四、其他</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u w:val="single"/>
        </w:rPr>
      </w:pPr>
      <w:r>
        <w:rPr>
          <w:rFonts w:eastAsia="方正书宋_GBK" w:cs="方正书宋_GBK" w:ascii="方正书宋_GBK" w:hAnsi="方正书宋_GBK"/>
          <w:sz w:val="22"/>
          <w:szCs w:val="22"/>
          <w:u w:val="single"/>
        </w:rPr>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u w:val="single"/>
        </w:rPr>
      </w:pPr>
      <w:r>
        <w:rPr>
          <w:rFonts w:eastAsia="方正书宋_GBK" w:cs="方正书宋_GBK" w:ascii="方正书宋_GBK" w:hAnsi="方正书宋_GBK"/>
          <w:sz w:val="22"/>
          <w:szCs w:val="22"/>
          <w:u w:val="single"/>
        </w:rPr>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u w:val="single"/>
        </w:rPr>
      </w:pPr>
      <w:r>
        <w:rPr>
          <w:rFonts w:eastAsia="方正书宋_GBK" w:cs="方正书宋_GBK" w:ascii="方正书宋_GBK" w:hAnsi="方正书宋_GBK"/>
          <w:sz w:val="22"/>
          <w:szCs w:val="22"/>
          <w:u w:val="single"/>
        </w:rPr>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u w:val="single"/>
        </w:rPr>
      </w:pPr>
      <w:r>
        <w:rPr>
          <w:rFonts w:eastAsia="方正书宋_GBK" w:cs="方正书宋_GBK" w:ascii="方正书宋_GBK" w:hAnsi="方正书宋_GBK"/>
          <w:sz w:val="22"/>
          <w:szCs w:val="22"/>
          <w:u w:val="single"/>
        </w:rPr>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u w:val="single"/>
        </w:rPr>
      </w:pPr>
      <w:r>
        <w:rPr>
          <w:rFonts w:eastAsia="方正书宋_GBK" w:cs="方正书宋_GBK" w:ascii="方正书宋_GBK" w:hAnsi="方正书宋_GBK"/>
          <w:sz w:val="22"/>
          <w:szCs w:val="22"/>
          <w:u w:val="single"/>
        </w:rPr>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u w:val="single"/>
        </w:rPr>
      </w:pPr>
      <w:r>
        <w:rPr>
          <w:rFonts w:eastAsia="方正书宋_GBK" w:cs="方正书宋_GBK" w:ascii="方正书宋_GBK" w:hAnsi="方正书宋_GBK"/>
          <w:sz w:val="22"/>
          <w:szCs w:val="22"/>
          <w:u w:val="single"/>
        </w:rPr>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60"/>
        <w:ind w:firstLine="420" w:end="0"/>
        <w:rPr>
          <w:rFonts w:ascii="方正书宋_GBK" w:hAnsi="方正书宋_GBK" w:eastAsia="方正书宋_GBK" w:cs="方正书宋_GBK"/>
          <w:sz w:val="22"/>
          <w:szCs w:val="21"/>
        </w:rPr>
      </w:pPr>
      <w:r>
        <w:rPr>
          <w:rFonts w:eastAsia="方正书宋_GBK" w:cs="方正书宋_GBK" w:ascii="方正书宋_GBK" w:hAnsi="方正书宋_GBK"/>
          <w:sz w:val="22"/>
          <w:szCs w:val="21"/>
        </w:rPr>
      </w:r>
    </w:p>
    <w:p>
      <w:pPr>
        <w:pStyle w:val="Normal"/>
        <w:snapToGrid w:val="false"/>
        <w:spacing w:lineRule="auto" w:line="360"/>
        <w:ind w:firstLine="420" w:end="0"/>
        <w:rPr>
          <w:szCs w:val="21"/>
        </w:rPr>
      </w:pPr>
      <w:r>
        <w:rPr>
          <w:szCs w:val="21"/>
        </w:rPr>
      </w:r>
    </w:p>
    <w:p>
      <w:pPr>
        <w:pStyle w:val="Normal"/>
        <w:snapToGrid w:val="false"/>
        <w:spacing w:lineRule="auto" w:line="360"/>
        <w:ind w:firstLine="420" w:end="0"/>
        <w:rPr>
          <w:szCs w:val="21"/>
        </w:rPr>
      </w:pPr>
      <w:r>
        <w:rPr>
          <w:szCs w:val="21"/>
        </w:rPr>
      </w:r>
    </w:p>
    <w:p>
      <w:pPr>
        <w:pStyle w:val="Normal"/>
        <w:rPr>
          <w:szCs w:val="21"/>
        </w:rPr>
      </w:pPr>
      <w:r>
        <w:rPr>
          <w:szCs w:val="21"/>
        </w:rPr>
      </w:r>
    </w:p>
    <w:sectPr>
      <w:footerReference w:type="default" r:id="rId2"/>
      <w:type w:val="nextPage"/>
      <w:pgSz w:w="9184" w:h="12983"/>
      <w:pgMar w:left="1361" w:right="1304" w:gutter="0" w:header="0" w:top="1701" w:footer="992" w:bottom="1531"/>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黑体">
    <w:charset w:val="86"/>
    <w:family w:val="auto"/>
    <w:pitch w:val="default"/>
  </w:font>
  <w:font w:name="Liberation Sans">
    <w:altName w:val="Arial"/>
    <w:charset w:val="01" w:characterSet="utf-8"/>
    <w:family w:val="swiss"/>
    <w:pitch w:val="variable"/>
  </w:font>
  <w:font w:name="方正小标宋简体">
    <w:charset w:val="86"/>
    <w:family w:val="auto"/>
    <w:pitch w:val="default"/>
  </w:font>
  <w:font w:name="方正小标宋_GBK">
    <w:charset w:val="86"/>
    <w:family w:val="auto"/>
    <w:pitch w:val="default"/>
  </w:font>
  <w:font w:name="方正黑体_GBK">
    <w:charset w:val="86"/>
    <w:family w:val="auto"/>
    <w:pitch w:val="default"/>
  </w:font>
  <w:font w:name="方正书宋_GBK">
    <w:charset w:val="86"/>
    <w:family w:val="auto"/>
    <w:pitch w:val="default"/>
  </w:font>
  <w:font w:name="方正楷体_GBK">
    <w:charset w:val="86"/>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r>
      <mc:AlternateContent>
        <mc:Choice Requires="wps">
          <w:drawing>
            <wp:anchor behindDoc="0" distT="0" distB="0" distL="0" distR="0" simplePos="0" locked="0" layoutInCell="0" allowOverlap="1" relativeHeight="22">
              <wp:simplePos x="0" y="0"/>
              <wp:positionH relativeFrom="margin">
                <wp:align>center</wp:align>
              </wp:positionH>
              <wp:positionV relativeFrom="paragraph">
                <wp:posOffset>635</wp:posOffset>
              </wp:positionV>
              <wp:extent cx="114935" cy="131445"/>
              <wp:effectExtent l="0" t="0" r="0" b="0"/>
              <wp:wrapSquare wrapText="bothSides"/>
              <wp:docPr id="2" name="Frame2"/>
              <a:graphic xmlns:a="http://schemas.openxmlformats.org/drawingml/2006/main">
                <a:graphicData uri="http://schemas.microsoft.com/office/word/2010/wordprocessingShape">
                  <wps:wsp>
                    <wps:cNvSpPr txBox="1"/>
                    <wps:spPr>
                      <a:xfrm>
                        <a:off x="0" y="0"/>
                        <a:ext cx="114935" cy="131445"/>
                      </a:xfrm>
                      <a:prstGeom prst="rect"/>
                      <a:solidFill>
                        <a:srgbClr val="FFFFFF">
                          <a:alpha val="0"/>
                        </a:srgbClr>
                      </a:solidFill>
                    </wps:spPr>
                    <wps:txbx>
                      <w:txbxContent>
                        <w:p>
                          <w:pPr>
                            <w:pStyle w:val="Footer"/>
                            <w:rPr>
                              <w:rStyle w:val="PageNumber"/>
                            </w:rPr>
                          </w:pPr>
                          <w:r>
                            <w:rPr/>
                            <w:fldChar w:fldCharType="begin"/>
                          </w:r>
                          <w:r>
                            <w:rPr/>
                            <w:instrText xml:space="preserve"> PAGE </w:instrText>
                          </w:r>
                          <w:r>
                            <w:rPr/>
                            <w:fldChar w:fldCharType="separate"/>
                          </w:r>
                          <w:r>
                            <w:rPr/>
                            <w:t>21</w:t>
                          </w:r>
                          <w:r>
                            <w:rPr/>
                            <w:fldChar w:fldCharType="end"/>
                          </w:r>
                        </w:p>
                      </w:txbxContent>
                    </wps:txbx>
                    <wps:bodyPr anchor="t" lIns="0" tIns="0" rIns="0" bIns="0">
                      <a:noAutofit/>
                    </wps:bodyPr>
                  </wps:wsp>
                </a:graphicData>
              </a:graphic>
            </wp:anchor>
          </w:drawing>
        </mc:Choice>
        <mc:Fallback>
          <w:pict>
            <v:rect fillcolor="#FFFFFF" style="position:absolute;rotation:-0;width:9.05pt;height:10.35pt;mso-wrap-distance-left:0pt;mso-wrap-distance-right:0pt;mso-wrap-distance-top:0pt;mso-wrap-distance-bottom:0pt;margin-top:0.05pt;mso-position-vertical-relative:text;margin-left:158.45pt;mso-position-horizontal:center;mso-position-horizontal-relative:margin">
              <v:fill opacity="0f"/>
              <v:textbox inset="0in,0in,0in,0in">
                <w:txbxContent>
                  <w:p>
                    <w:pPr>
                      <w:pStyle w:val="Footer"/>
                      <w:rPr>
                        <w:rStyle w:val="PageNumber"/>
                      </w:rPr>
                    </w:pPr>
                    <w:r>
                      <w:rPr/>
                      <w:fldChar w:fldCharType="begin"/>
                    </w:r>
                    <w:r>
                      <w:rPr/>
                      <w:instrText xml:space="preserve"> PAGE </w:instrText>
                    </w:r>
                    <w:r>
                      <w:rPr/>
                      <w:fldChar w:fldCharType="separate"/>
                    </w:r>
                    <w:r>
                      <w:rPr/>
                      <w:t>21</w:t>
                    </w:r>
                    <w:r>
                      <w:rPr/>
                      <w:fldChar w:fldCharType="end"/>
                    </w:r>
                  </w:p>
                </w:txbxContent>
              </v:textbox>
              <w10:wrap type="square"/>
            </v:rect>
          </w:pict>
        </mc:Fallback>
      </mc:AlternateContent>
    </w:r>
  </w:p>
</w:ftr>
</file>

<file path=word/settings.xml><?xml version="1.0" encoding="utf-8"?>
<w:settings xmlns:w="http://schemas.openxmlformats.org/wordprocessingml/2006/main">
  <w:zoom w:percent="150"/>
  <w:defaultTabStop w:val="420"/>
  <w:autoHyphenation w:val="true"/>
  <w:hyphenationZone w:val="0"/>
  <w:compat>
    <w:doNotExpandShiftReturn/>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4"/>
      <w:lang w:val="en-US" w:eastAsia="zh-CN" w:bidi="ar-SA"/>
    </w:rPr>
  </w:style>
  <w:style w:type="character" w:styleId="Style14">
    <w:name w:val="默认段落字体"/>
    <w:qFormat/>
    <w:rPr/>
  </w:style>
  <w:style w:type="character" w:styleId="2Char">
    <w:name w:val="样式2 Char"/>
    <w:basedOn w:val="Style14"/>
    <w:qFormat/>
    <w:rPr>
      <w:rFonts w:ascii="黑体" w:hAnsi="黑体" w:eastAsia="黑体"/>
      <w:kern w:val="2"/>
      <w:sz w:val="24"/>
      <w:szCs w:val="24"/>
      <w:lang w:val="en-US" w:eastAsia="zh-CN" w:bidi="ar-SA"/>
    </w:rPr>
  </w:style>
  <w:style w:type="character" w:styleId="PageNumber">
    <w:name w:val="page number"/>
    <w:basedOn w:val="Style14"/>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Footer">
    <w:name w:val="footer"/>
    <w:basedOn w:val="Normal"/>
    <w:pPr>
      <w:tabs>
        <w:tab w:val="clear" w:pos="420"/>
        <w:tab w:val="center" w:pos="4153" w:leader="none"/>
        <w:tab w:val="right" w:pos="8306" w:leader="none"/>
      </w:tabs>
      <w:snapToGrid w:val="false"/>
      <w:jc w:val="start"/>
    </w:pPr>
    <w:rPr>
      <w:sz w:val="18"/>
      <w:szCs w:val="18"/>
    </w:rPr>
  </w:style>
  <w:style w:type="paragraph" w:styleId="2">
    <w:name w:val="样式2"/>
    <w:basedOn w:val="Normal"/>
    <w:qFormat/>
    <w:pPr>
      <w:snapToGrid w:val="false"/>
      <w:spacing w:lineRule="auto" w:line="360"/>
      <w:ind w:firstLine="480" w:start="0" w:end="0"/>
    </w:pPr>
    <w:rPr>
      <w:rFonts w:ascii="黑体" w:hAnsi="黑体" w:eastAsia="黑体"/>
      <w:sz w:val="24"/>
    </w:rPr>
  </w:style>
  <w:style w:type="paragraph" w:styleId="3">
    <w:name w:val="样式3"/>
    <w:basedOn w:val="Normal"/>
    <w:qFormat/>
    <w:pPr>
      <w:snapToGrid w:val="false"/>
      <w:spacing w:lineRule="auto" w:line="360"/>
      <w:jc w:val="center"/>
    </w:pPr>
    <w:rPr>
      <w:rFonts w:ascii="方正小标宋简体" w:hAnsi="方正小标宋简体" w:eastAsia="方正小标宋简体"/>
      <w:sz w:val="44"/>
      <w:szCs w:val="44"/>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4320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2010-05-13T16:19:00Z</dcterms:created>
  <dc:creator>袁弘信</dc:creator>
  <dc:description/>
  <dc:language>zh-CN</dc:language>
  <cp:lastModifiedBy>袁弘信</cp:lastModifiedBy>
  <dcterms:modified xsi:type="dcterms:W3CDTF">2022-02-18T17:52:33Z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2052-11.1.0.10214</vt:lpwstr>
  </property>
</Properties>
</file>