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GF—2002—0605</w:t>
      </w: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spacing w:line="577" w:lineRule="exact" w:before="0"/>
        <w:ind w:left="2252" w:right="0" w:firstLine="0"/>
        <w:jc w:val="left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人民防空工程租赁使用合同</w:t>
      </w:r>
    </w:p>
    <w:p>
      <w:pPr>
        <w:pStyle w:val="Heading1"/>
        <w:spacing w:before="152"/>
        <w:ind w:firstLine="1567"/>
        <w:jc w:val="left"/>
      </w:pPr>
      <w:r>
        <w:rPr>
          <w:color w:val="231F20"/>
        </w:rPr>
        <w:t>(示範文本){示範文本}</w:t>
      </w:r>
    </w:p>
    <w:p>
      <w:pPr>
        <w:pStyle w:val="BodyText"/>
        <w:spacing w:before="0"/>
        <w:rPr>
          <w:rFonts w:ascii="方正楷体_GBK"/>
          <w:sz w:val="30"/>
        </w:rPr>
      </w:pPr>
    </w:p>
    <w:p>
      <w:pPr>
        <w:pStyle w:val="BodyText"/>
        <w:spacing w:before="0"/>
        <w:rPr>
          <w:rFonts w:ascii="方正楷体_GBK"/>
          <w:sz w:val="30"/>
        </w:rPr>
      </w:pPr>
    </w:p>
    <w:p>
      <w:pPr>
        <w:pStyle w:val="BodyText"/>
        <w:spacing w:before="0"/>
        <w:rPr>
          <w:rFonts w:ascii="方正楷体_GBK"/>
          <w:sz w:val="30"/>
        </w:rPr>
      </w:pPr>
    </w:p>
    <w:p>
      <w:pPr>
        <w:pStyle w:val="BodyText"/>
        <w:spacing w:before="0"/>
        <w:rPr>
          <w:rFonts w:ascii="方正楷体_GBK"/>
          <w:sz w:val="30"/>
        </w:rPr>
      </w:pPr>
    </w:p>
    <w:p>
      <w:pPr>
        <w:pStyle w:val="BodyText"/>
        <w:spacing w:before="0"/>
        <w:rPr>
          <w:rFonts w:ascii="方正楷体_GBK"/>
          <w:sz w:val="30"/>
        </w:rPr>
      </w:pPr>
    </w:p>
    <w:p>
      <w:pPr>
        <w:pStyle w:val="BodyText"/>
        <w:spacing w:before="0"/>
        <w:rPr>
          <w:rFonts w:ascii="方正楷体_GBK"/>
          <w:sz w:val="30"/>
        </w:rPr>
      </w:pPr>
    </w:p>
    <w:p>
      <w:pPr>
        <w:pStyle w:val="BodyText"/>
        <w:spacing w:before="0"/>
        <w:rPr>
          <w:rFonts w:ascii="方正楷体_GBK"/>
          <w:sz w:val="30"/>
        </w:rPr>
      </w:pPr>
    </w:p>
    <w:p>
      <w:pPr>
        <w:pStyle w:val="BodyText"/>
        <w:spacing w:before="0"/>
        <w:rPr>
          <w:rFonts w:ascii="方正楷体_GBK"/>
          <w:sz w:val="27"/>
        </w:rPr>
      </w:pPr>
    </w:p>
    <w:p>
      <w:pPr>
        <w:tabs>
          <w:tab w:pos="5426" w:val="left" w:leader="none"/>
        </w:tabs>
        <w:spacing w:line="544" w:lineRule="auto" w:before="0"/>
        <w:ind w:left="2371" w:right="3877" w:firstLine="0"/>
        <w:jc w:val="center"/>
        <w:rPr>
          <w:rFonts w:ascii="方正楷体_GBK" w:eastAsia="方正楷体_GBK" w:hint="eastAsia"/>
          <w:sz w:val="26"/>
        </w:rPr>
      </w:pPr>
      <w:r>
        <w:rPr>
          <w:rFonts w:ascii="方正楷体_GBK" w:eastAsia="方正楷体_GBK" w:hint="eastAsia"/>
          <w:color w:val="231F20"/>
          <w:sz w:val="26"/>
        </w:rPr>
        <w:t>工程名称</w:t>
      </w:r>
      <w:r>
        <w:rPr>
          <w:rFonts w:ascii="方正楷体_GBK" w:eastAsia="方正楷体_GBK" w:hint="eastAsia"/>
          <w:color w:val="231F20"/>
          <w:sz w:val="26"/>
          <w:u w:val="single" w:color="231F20"/>
        </w:rPr>
        <w:t>：{工</w:t>
      </w:r>
      <w:r>
        <w:rPr>
          <w:rFonts w:ascii="方正楷体_GBK" w:eastAsia="方正楷体_GBK" w:hint="eastAsia"/>
          <w:color w:val="231F20"/>
          <w:sz w:val="26"/>
        </w:rPr>
        <w:t>程名称}</w:t>
      </w:r>
      <w:r>
        <w:rPr>
          <w:rFonts w:ascii="方正楷体_GBK" w:eastAsia="方正楷体_GBK" w:hint="eastAsia"/>
          <w:color w:val="231F20"/>
          <w:sz w:val="26"/>
          <w:u w:val="single" w:color="231F20"/>
        </w:rPr>
        <w:tab/>
        <w:t>合同编号：{合同编号}</w:t>
      </w:r>
    </w:p>
    <w:p>
      <w:pPr>
        <w:pStyle w:val="BodyText"/>
        <w:spacing w:before="0"/>
        <w:rPr>
          <w:rFonts w:ascii="方正楷体_GBK"/>
          <w:sz w:val="28"/>
        </w:rPr>
      </w:pPr>
    </w:p>
    <w:p>
      <w:pPr>
        <w:pStyle w:val="BodyText"/>
        <w:spacing w:before="0"/>
        <w:rPr>
          <w:rFonts w:ascii="方正楷体_GBK"/>
          <w:sz w:val="28"/>
        </w:rPr>
      </w:pPr>
    </w:p>
    <w:p>
      <w:pPr>
        <w:pStyle w:val="BodyText"/>
        <w:spacing w:before="0"/>
        <w:rPr>
          <w:rFonts w:ascii="方正楷体_GBK"/>
          <w:sz w:val="28"/>
        </w:rPr>
      </w:pPr>
    </w:p>
    <w:p>
      <w:pPr>
        <w:pStyle w:val="BodyText"/>
        <w:spacing w:before="0"/>
        <w:rPr>
          <w:rFonts w:ascii="方正楷体_GBK"/>
          <w:sz w:val="28"/>
        </w:rPr>
      </w:pPr>
    </w:p>
    <w:p>
      <w:pPr>
        <w:pStyle w:val="BodyText"/>
        <w:spacing w:before="0"/>
        <w:rPr>
          <w:rFonts w:ascii="方正楷体_GBK"/>
          <w:sz w:val="28"/>
        </w:rPr>
      </w:pPr>
    </w:p>
    <w:p>
      <w:pPr>
        <w:pStyle w:val="BodyText"/>
        <w:spacing w:before="0"/>
        <w:rPr>
          <w:rFonts w:ascii="方正楷体_GBK"/>
          <w:sz w:val="28"/>
        </w:rPr>
      </w:pPr>
    </w:p>
    <w:p>
      <w:pPr>
        <w:pStyle w:val="BodyText"/>
        <w:spacing w:before="0"/>
        <w:rPr>
          <w:rFonts w:ascii="方正楷体_GBK"/>
          <w:sz w:val="28"/>
        </w:rPr>
      </w:pPr>
    </w:p>
    <w:p>
      <w:pPr>
        <w:pStyle w:val="BodyText"/>
        <w:spacing w:before="3"/>
        <w:rPr>
          <w:rFonts w:ascii="方正楷体_GBK"/>
          <w:sz w:val="18"/>
        </w:rPr>
      </w:pPr>
    </w:p>
    <w:p>
      <w:pPr>
        <w:pStyle w:val="Heading1"/>
        <w:spacing w:line="309" w:lineRule="exact"/>
        <w:ind w:left="2366" w:right="3877"/>
      </w:pPr>
      <w:r>
        <w:rPr>
          <w:color w:val="231F20"/>
        </w:rPr>
        <w:t>国家人民防空办公室</w:t>
      </w:r>
    </w:p>
    <w:p>
      <w:pPr>
        <w:tabs>
          <w:tab w:pos="3079" w:val="left" w:leader="none"/>
        </w:tabs>
        <w:spacing w:line="509" w:lineRule="exact" w:before="0"/>
        <w:ind w:left="0" w:right="693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国家工商行政管理总局</w:t>
        <w:tab/>
      </w:r>
      <w:r>
        <w:rPr>
          <w:rFonts w:ascii="方正楷体_GBK" w:eastAsia="方正楷体_GBK" w:hint="eastAsia"/>
          <w:color w:val="231F20"/>
          <w:position w:val="20"/>
          <w:sz w:val="28"/>
        </w:rPr>
        <w:t>制定</w:t>
      </w:r>
    </w:p>
    <w:p>
      <w:pPr>
        <w:spacing w:before="22"/>
        <w:ind w:left="2371" w:right="3064" w:firstLine="0"/>
        <w:jc w:val="center"/>
        <w:rPr>
          <w:rFonts w:ascii="方正楷体_GBK" w:hAnsi="方正楷体_GBK" w:eastAsia="方正楷体_GBK" w:hint="eastAsia"/>
          <w:sz w:val="28"/>
        </w:rPr>
      </w:pPr>
      <w:r>
        <w:rPr>
          <w:rFonts w:ascii="方正楷体_GBK" w:hAnsi="方正楷体_GBK" w:eastAsia="方正楷体_GBK" w:hint="eastAsia"/>
          <w:color w:val="231F20"/>
          <w:sz w:val="28"/>
        </w:rPr>
        <w:t>二○○二年四月</w:t>
      </w:r>
    </w:p>
    <w:p>
      <w:pPr>
        <w:spacing w:after="0"/>
        <w:jc w:val="center"/>
        <w:rPr>
          <w:rFonts w:ascii="方正楷体_GBK" w:hAnsi="方正楷体_GBK" w:eastAsia="方正楷体_GBK" w:hint="eastAsia"/>
          <w:sz w:val="28"/>
        </w:rPr>
        <w:sectPr>
          <w:footerReference w:type="default" r:id="rId5"/>
          <w:footerReference w:type="even" r:id="rId6"/>
          <w:type w:val="continuous"/>
          <w:pgSz w:w="11910" w:h="16840"/>
          <w:pgMar w:footer="832" w:top="1580" w:bottom="1020" w:left="1300" w:right="1300"/>
          <w:pgNumType w:start="1"/>
        </w:sectPr>
      </w:pPr>
    </w:p>
    <w:p>
      <w:pPr>
        <w:pStyle w:val="BodyText"/>
        <w:spacing w:before="0"/>
        <w:rPr>
          <w:rFonts w:ascii="方正楷体_GBK"/>
          <w:sz w:val="20"/>
        </w:rPr>
      </w:pPr>
    </w:p>
    <w:p>
      <w:pPr>
        <w:pStyle w:val="BodyText"/>
        <w:spacing w:before="12"/>
        <w:rPr>
          <w:rFonts w:ascii="方正楷体_GBK"/>
          <w:sz w:val="25"/>
        </w:rPr>
      </w:pPr>
    </w:p>
    <w:p>
      <w:pPr>
        <w:spacing w:before="3"/>
        <w:ind w:left="2972" w:right="0" w:firstLine="0"/>
        <w:jc w:val="left"/>
        <w:rPr>
          <w:rFonts w:ascii="方正黑体_GBK" w:eastAsia="方正黑体_GBK" w:hint="eastAsia"/>
          <w:sz w:val="28"/>
        </w:rPr>
      </w:pPr>
      <w:r>
        <w:rPr>
          <w:rFonts w:ascii="方正黑体_GBK" w:eastAsia="方正黑体_GBK" w:hint="eastAsia"/>
          <w:color w:val="231F20"/>
          <w:sz w:val="28"/>
        </w:rPr>
        <w:t>人民防空工程租赁使用合同</w:t>
      </w:r>
    </w:p>
    <w:p>
      <w:pPr>
        <w:pStyle w:val="BodyText"/>
        <w:spacing w:before="14"/>
        <w:rPr>
          <w:rFonts w:ascii="方正黑体_GBK"/>
          <w:sz w:val="45"/>
        </w:rPr>
      </w:pPr>
    </w:p>
    <w:p>
      <w:pPr>
        <w:pStyle w:val="BodyText"/>
        <w:tabs>
          <w:tab w:pos="1437" w:val="left" w:leader="none"/>
          <w:tab w:pos="4682" w:val="left" w:leader="none"/>
        </w:tabs>
        <w:spacing w:line="302" w:lineRule="auto" w:before="0"/>
        <w:ind w:left="557" w:right="2686"/>
      </w:pPr>
      <w:r>
        <w:rPr>
          <w:color w:val="231F20"/>
        </w:rPr>
        <w:t>出租人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出租人名称}</w:t>
        <w:tab/>
        <w:t xml:space="preserve">                              </w:t>
      </w:r>
      <w:r>
        <w:rPr>
          <w:color w:val="231F20"/>
          <w:u w:val="single" w:color="231F20"/>
        </w:rPr>
        <w:t xml:space="preserve">  </w:t>
      </w:r>
      <w:r>
        <w:rPr>
          <w:color w:val="231F20"/>
        </w:rPr>
        <w:t xml:space="preserve">  承租人：{承租人名称}</w:t>
        <w:tab/>
        <w:t xml:space="preserve">                                  出租人向承租人出租人民防空工</w:t>
      </w:r>
      <w:r>
        <w:rPr>
          <w:rFonts w:ascii="方正黑体_GBK" w:eastAsia="方正黑体_GBK" w:hint="eastAsia"/>
          <w:color w:val="231F20"/>
        </w:rPr>
        <w:t>程，经双</w:t>
      </w:r>
      <w:r>
        <w:rPr>
          <w:color w:val="231F20"/>
        </w:rPr>
        <w:t>方协商，签订本合同。第一条</w:t>
        <w:tab/>
        <w:t>人民防空工程状况</w:t>
      </w:r>
    </w:p>
    <w:p>
      <w:pPr>
        <w:pStyle w:val="BodyText"/>
        <w:tabs>
          <w:tab w:pos="1437" w:val="left" w:leader="none"/>
          <w:tab w:pos="3802" w:val="left" w:leader="none"/>
          <w:tab w:pos="4242" w:val="left" w:leader="none"/>
          <w:tab w:pos="5892" w:val="left" w:leader="none"/>
          <w:tab w:pos="8147" w:val="left" w:leader="none"/>
          <w:tab w:pos="8202" w:val="left" w:leader="none"/>
          <w:tab w:pos="8422" w:val="left" w:leader="none"/>
        </w:tabs>
        <w:spacing w:line="304" w:lineRule="auto" w:before="21"/>
        <w:ind w:left="557" w:right="981"/>
      </w:pPr>
      <w:r>
        <w:rPr>
          <w:color w:val="231F20"/>
        </w:rPr>
        <w:t>人民防空工程坐落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>{市（</w:t>
      </w:r>
      <w:r>
        <w:rPr>
          <w:color w:val="231F20"/>
          <w:u w:val="single" w:color="231F20"/>
        </w:rPr>
        <w:t>县）</w:t>
      </w:r>
      <w:r>
        <w:rPr>
          <w:color w:val="231F20"/>
        </w:rPr>
        <w:t>}</w:t>
        <w:tab/>
        <w:t>{</w:t>
      </w:r>
      <w:r>
        <w:rPr>
          <w:color w:val="231F20"/>
          <w:u w:val="single" w:color="231F20"/>
        </w:rPr>
        <w:t>区（镇）}</w:t>
      </w:r>
      <w:r>
        <w:rPr>
          <w:color w:val="231F20"/>
        </w:rPr>
        <w:tab/>
        <w:tab/>
        <w:tab/>
        <w:t xml:space="preserve"> </w:t>
      </w:r>
      <w:r>
        <w:rPr>
          <w:color w:val="231F20"/>
          <w:u w:val="single" w:color="231F20"/>
        </w:rPr>
        <w:br/>
        <w:t>工程</w:t>
      </w:r>
      <w:r>
        <w:rPr>
          <w:color w:val="231F20"/>
        </w:rPr>
        <w:t>名称：</w:t>
        <w:tab/>
      </w:r>
      <w:r>
        <w:rPr>
          <w:color w:val="231F20"/>
          <w:u w:val="single" w:color="231F20"/>
        </w:rPr>
        <w:t>{工程</w:t>
      </w:r>
      <w:r>
        <w:rPr>
          <w:color w:val="231F20"/>
        </w:rPr>
        <w:t>名称}</w:t>
        <w:tab/>
        <w:t>建筑</w:t>
      </w:r>
      <w:r>
        <w:rPr>
          <w:color w:val="231F20"/>
          <w:u w:val="single" w:color="231F20"/>
        </w:rPr>
        <w:t>面积：</w:t>
      </w:r>
      <w:r>
        <w:rPr>
          <w:color w:val="231F20"/>
        </w:rPr>
        <w:tab/>
        <w:t>{建筑</w:t>
      </w:r>
      <w:r>
        <w:rPr>
          <w:color w:val="231F20"/>
          <w:u w:val="single" w:color="231F20"/>
        </w:rPr>
        <w:t>面积}</w:t>
      </w:r>
      <w:r>
        <w:rPr>
          <w:color w:val="231F20"/>
        </w:rPr>
        <w:tab/>
        <w:t>邮政编码：</w:t>
        <w:tab/>
        <w:t>{</w:t>
      </w:r>
      <w:r>
        <w:rPr>
          <w:color w:val="231F20"/>
          <w:u w:val="single" w:color="231F20"/>
        </w:rPr>
        <w:t>邮政编码}</w:t>
        <w:tab/>
      </w:r>
      <w:r>
        <w:rPr>
          <w:color w:val="231F20"/>
        </w:rPr>
        <w:t>使用面积：</w:t>
      </w:r>
      <w:r>
        <w:rPr>
          <w:color w:val="231F20"/>
          <w:u w:val="single" w:color="231F20"/>
        </w:rPr>
        <w:tab/>
        <w:t>{使用面积</w:t>
      </w:r>
      <w:r>
        <w:rPr>
          <w:rFonts w:ascii="方正黑体_GBK" w:eastAsia="方正黑体_GBK" w:hint="eastAsia"/>
          <w:color w:val="231F20"/>
        </w:rPr>
        <w:t>}</w:t>
        <w:tab/>
        <w:t>工程质</w:t>
      </w:r>
      <w:r>
        <w:rPr>
          <w:color w:val="231F20"/>
        </w:rPr>
        <w:t>量状况：</w:t>
        <w:tab/>
        <w:t>{工程质量状况}</w:t>
        <w:tab/>
        <w:tab/>
        <w:tab/>
        <w:tab/>
        <w:t xml:space="preserve"> </w:t>
        <w:br/>
        <w:t>租赁用途：</w:t>
        <w:tab/>
        <w:t>{租赁用途}</w:t>
        <w:tab/>
        <w:tab/>
        <w:tab/>
        <w:tab/>
        <w:t xml:space="preserve"> </w:t>
        <w:br/>
        <w:t>第二条</w:t>
        <w:tab/>
        <w:t>租赁期限</w:t>
      </w:r>
    </w:p>
    <w:p>
      <w:pPr>
        <w:pStyle w:val="BodyText"/>
        <w:tabs>
          <w:tab w:pos="1657" w:val="left" w:leader="none"/>
          <w:tab w:pos="2317" w:val="left" w:leader="none"/>
          <w:tab w:pos="2537" w:val="left" w:leader="none"/>
          <w:tab w:pos="2977" w:val="left" w:leader="none"/>
          <w:tab w:pos="4517" w:val="left" w:leader="none"/>
          <w:tab w:pos="5177" w:val="left" w:leader="none"/>
          <w:tab w:pos="5837" w:val="left" w:leader="none"/>
        </w:tabs>
        <w:spacing w:line="304" w:lineRule="auto" w:before="18"/>
        <w:ind w:left="557" w:right="2906"/>
      </w:pPr>
      <w:r>
        <w:rPr>
          <w:color w:val="231F20"/>
        </w:rPr>
        <w:t>{</w:t>
      </w:r>
      <w:r>
        <w:rPr>
          <w:color w:val="231F20"/>
          <w:u w:val="single" w:color="231F20"/>
        </w:rPr>
        <w:t>开始</w:t>
      </w:r>
      <w:r>
        <w:rPr>
          <w:color w:val="231F20"/>
        </w:rPr>
        <w:t>年</w:t>
      </w:r>
      <w:r>
        <w:rPr>
          <w:color w:val="231F20"/>
          <w:u w:val="single" w:color="231F20"/>
        </w:rPr>
        <w:t>份}</w:t>
      </w:r>
      <w:r>
        <w:rPr>
          <w:color w:val="231F20"/>
        </w:rPr>
        <w:t xml:space="preserve"> </w:t>
      </w:r>
      <w:r>
        <w:rPr>
          <w:color w:val="231F20"/>
          <w:u w:val="single" w:color="231F20"/>
        </w:rPr>
        <w:t xml:space="preserve">年 </w:t>
      </w:r>
      <w:r>
        <w:rPr>
          <w:color w:val="231F20"/>
        </w:rPr>
        <w:t>{开始</w:t>
      </w:r>
      <w:r>
        <w:rPr>
          <w:color w:val="231F20"/>
          <w:u w:val="single" w:color="231F20"/>
        </w:rPr>
        <w:t>月份</w:t>
      </w:r>
      <w:r>
        <w:rPr>
          <w:color w:val="231F20"/>
        </w:rPr>
        <w:t>}</w:t>
      </w:r>
      <w:r>
        <w:rPr>
          <w:color w:val="231F20"/>
          <w:u w:val="single" w:color="231F20"/>
        </w:rPr>
        <w:t xml:space="preserve"> 月</w:t>
      </w:r>
      <w:r>
        <w:rPr>
          <w:color w:val="231F20"/>
        </w:rPr>
        <w:t xml:space="preserve"> </w:t>
      </w:r>
      <w:r>
        <w:rPr>
          <w:color w:val="231F20"/>
          <w:u w:val="single" w:color="231F20"/>
        </w:rPr>
        <w:t>{开</w:t>
      </w:r>
      <w:r>
        <w:rPr>
          <w:color w:val="231F20"/>
        </w:rPr>
        <w:t>始日期} 日起至</w:t>
      </w:r>
      <w:r>
        <w:rPr>
          <w:color w:val="231F20"/>
          <w:u w:val="single" w:color="231F20"/>
        </w:rPr>
        <w:t xml:space="preserve"> {结</w:t>
      </w:r>
      <w:r>
        <w:rPr>
          <w:color w:val="231F20"/>
        </w:rPr>
        <w:t>束年份} 年 {结束月份} 月 {结束日期} 日止。合同生效后 {交付天数} 天内出租人将工程交付承租人。</w:t>
      </w:r>
    </w:p>
    <w:p>
      <w:pPr>
        <w:pStyle w:val="BodyText"/>
        <w:tabs>
          <w:tab w:pos="1437" w:val="left" w:leader="none"/>
        </w:tabs>
        <w:spacing w:before="14"/>
        <w:ind w:left="557"/>
      </w:pPr>
      <w:r>
        <w:rPr>
          <w:rFonts w:ascii="方正黑体_GBK" w:eastAsia="方正黑体_GBK" w:hint="eastAsia"/>
          <w:color w:val="231F20"/>
        </w:rPr>
        <w:t>第三条</w:t>
        <w:tab/>
      </w:r>
      <w:r>
        <w:rPr>
          <w:color w:val="231F20"/>
        </w:rPr>
        <w:t>人民防空工程使用费和使用费缴纳时间、方式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  <w:tab w:pos="6715" w:val="left" w:leader="none"/>
          <w:tab w:pos="8255" w:val="left" w:leader="none"/>
        </w:tabs>
        <w:spacing w:line="240" w:lineRule="auto" w:before="89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人民防空工程使用费每平方米（每个柜台、店铺）每月</w:t>
      </w:r>
      <w:r>
        <w:rPr>
          <w:color w:val="231F20"/>
          <w:sz w:val="22"/>
          <w:u w:val="single" w:color="231F20"/>
        </w:rPr>
        <w:t xml:space="preserve"> {</w:t>
      </w:r>
      <w:r>
        <w:rPr>
          <w:color w:val="231F20"/>
          <w:sz w:val="22"/>
        </w:rPr>
        <w:t>费用金额</w:t>
      </w:r>
      <w:r>
        <w:rPr>
          <w:color w:val="231F20"/>
          <w:sz w:val="22"/>
          <w:u w:val="single" w:color="231F20"/>
        </w:rPr>
        <w:t xml:space="preserve">} </w:t>
      </w:r>
      <w:r>
        <w:rPr>
          <w:color w:val="231F20"/>
          <w:sz w:val="22"/>
        </w:rPr>
        <w:t>元，共计 {总金额} 元；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  <w:tab w:pos="9188" w:val="left" w:leader="none"/>
        </w:tabs>
        <w:spacing w:line="240" w:lineRule="auto" w:before="89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使用费缴纳时间与方式</w:t>
      </w:r>
      <w:r>
        <w:rPr>
          <w:color w:val="231F20"/>
          <w:sz w:val="22"/>
          <w:u w:val="single" w:color="231F20"/>
        </w:rPr>
        <w:t>：{缴纳时间与方式}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79983pt" to="524.409096pt,20.679983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第四条</w:t>
        <w:tab/>
      </w:r>
      <w:r>
        <w:rPr>
          <w:color w:val="231F20"/>
        </w:rPr>
        <w:t>租赁期间工程维修</w:t>
      </w:r>
    </w:p>
    <w:p>
      <w:pPr>
        <w:pStyle w:val="BodyText"/>
        <w:spacing w:line="304" w:lineRule="auto"/>
        <w:ind w:left="117" w:right="208" w:firstLine="440"/>
      </w:pPr>
      <w:r>
        <w:rPr>
          <w:color w:val="231F20"/>
        </w:rPr>
        <w:t>租赁期间工程维修由出租人负责。出租人的维修范围包括：{维修范围}，保障承租人正常使用。出租人维修工程时，承租人应予以{协助方式}。</w:t>
      </w:r>
    </w:p>
    <w:p>
      <w:pPr>
        <w:pStyle w:val="BodyText"/>
        <w:spacing w:line="304" w:lineRule="auto" w:before="21"/>
        <w:ind w:left="117" w:right="208" w:firstLine="440"/>
      </w:pPr>
      <w:r>
        <w:rPr>
          <w:color w:val="231F20"/>
        </w:rPr>
        <w:t>出租人也可委托承租人就其中某一项进行维修；维修费用由出租人负责或抵付人民防空工程使用费，也可约定解决方式。</w:t>
      </w:r>
    </w:p>
    <w:p>
      <w:pPr>
        <w:pStyle w:val="BodyText"/>
        <w:spacing w:before="21"/>
        <w:ind w:left="557"/>
      </w:pPr>
      <w:r>
        <w:rPr>
          <w:color w:val="231F20"/>
          <w:spacing w:val="-9"/>
        </w:rPr>
        <w:t>租赁期间工程维修由承租人负责的，其维修范围和费用负担由双方在本合同第十三条中约定。</w:t>
      </w:r>
    </w:p>
    <w:p>
      <w:pPr>
        <w:pStyle w:val="BodyText"/>
        <w:tabs>
          <w:tab w:pos="1437" w:val="left" w:leader="none"/>
          <w:tab w:pos="594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第五条</w:t>
        <w:tab/>
      </w:r>
      <w:r>
        <w:rPr>
          <w:color w:val="231F20"/>
        </w:rPr>
        <w:t>工程租赁期间的水、电、暖、通信</w:t>
      </w:r>
      <w:r>
        <w:rPr>
          <w:color w:val="231F20"/>
          <w:u w:val="single" w:color="231F20"/>
        </w:rPr>
        <w:t>、</w:t>
        <w:tab/>
      </w:r>
      <w:r>
        <w:rPr>
          <w:color w:val="231F20"/>
        </w:rPr>
        <w:t>费用由承租人负担。</w:t>
      </w:r>
    </w:p>
    <w:p>
      <w:pPr>
        <w:pStyle w:val="BodyText"/>
        <w:tabs>
          <w:tab w:pos="143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第六条</w:t>
        <w:tab/>
      </w:r>
      <w:r>
        <w:rPr>
          <w:color w:val="231F20"/>
        </w:rPr>
        <w:t>租赁工程的装修</w:t>
      </w:r>
    </w:p>
    <w:p>
      <w:pPr>
        <w:pStyle w:val="BodyText"/>
        <w:tabs>
          <w:tab w:pos="9078" w:val="left" w:leader="none"/>
        </w:tabs>
        <w:spacing w:line="304" w:lineRule="auto"/>
        <w:ind w:left="117" w:right="105" w:firstLine="440"/>
        <w:jc w:val="both"/>
      </w:pPr>
      <w:r>
        <w:rPr>
          <w:color w:val="231F20"/>
        </w:rPr>
        <w:t>工程租赁期内</w:t>
      </w:r>
      <w:r>
        <w:rPr>
          <w:color w:val="231F20"/>
          <w:spacing w:val="-52"/>
        </w:rPr>
        <w:t>；</w:t>
      </w:r>
      <w:r>
        <w:rPr>
          <w:color w:val="231F20"/>
        </w:rPr>
        <w:t>承租人经出租人同意，可以对工程按使用需要进行装修。装修方案和施工图纸必须经{人民防空主管部门}审核同意后方可组织施工。承租人未经出租人同意对工程进行装修，自行承担由此引起的一切责任。租赁合同期满，对工程装修的</w:t>
      </w:r>
      <w:r>
        <w:rPr>
          <w:color w:val="231F20"/>
          <w:u w:val="single" w:color="231F20"/>
        </w:rPr>
        <w:t>处理</w:t>
      </w:r>
      <w:r>
        <w:rPr>
          <w:color w:val="231F20"/>
        </w:rPr>
        <w:t>：{装修处理方式}。</w:t>
      </w:r>
    </w:p>
    <w:p>
      <w:pPr>
        <w:pStyle w:val="BodyText"/>
        <w:tabs>
          <w:tab w:pos="1456" w:val="left" w:leader="none"/>
          <w:tab w:pos="5603" w:val="left" w:leader="none"/>
        </w:tabs>
        <w:spacing w:line="304" w:lineRule="auto" w:before="14"/>
        <w:ind w:left="117" w:right="208" w:firstLine="440"/>
      </w:pPr>
      <w:r>
        <w:rPr>
          <w:rFonts w:ascii="方正黑体_GBK" w:eastAsia="方正黑体_GBK" w:hint="eastAsia"/>
          <w:color w:val="231F20"/>
          <w:spacing w:val="5"/>
        </w:rPr>
        <w:t>第七</w:t>
      </w:r>
      <w:r>
        <w:rPr>
          <w:rFonts w:ascii="方正黑体_GBK" w:eastAsia="方正黑体_GBK" w:hint="eastAsia"/>
          <w:color w:val="231F20"/>
        </w:rPr>
        <w:t>条</w:t>
        <w:tab/>
      </w:r>
      <w:r>
        <w:rPr>
          <w:color w:val="231F20"/>
          <w:spacing w:val="5"/>
        </w:rPr>
        <w:t>工程租赁期</w:t>
      </w:r>
      <w:r>
        <w:rPr>
          <w:color w:val="231F20"/>
        </w:rPr>
        <w:t>内</w:t>
      </w:r>
      <w:r>
        <w:rPr>
          <w:color w:val="231F20"/>
          <w:spacing w:val="-49"/>
        </w:rPr>
        <w:t>；</w:t>
      </w:r>
      <w:r>
        <w:rPr>
          <w:color w:val="231F20"/>
          <w:spacing w:val="5"/>
        </w:rPr>
        <w:t>承租人经出租人同</w:t>
      </w:r>
      <w:r>
        <w:rPr>
          <w:color w:val="231F20"/>
        </w:rPr>
        <w:t>意</w:t>
      </w:r>
      <w:r>
        <w:rPr>
          <w:color w:val="231F20"/>
          <w:spacing w:val="-49"/>
        </w:rPr>
        <w:t>；</w:t>
      </w:r>
      <w:r>
        <w:rPr>
          <w:color w:val="231F20"/>
          <w:spacing w:val="5"/>
        </w:rPr>
        <w:t>可以按使用需要改善或者增设他</w:t>
      </w:r>
      <w:r>
        <w:rPr>
          <w:color w:val="231F20"/>
        </w:rPr>
        <w:t>物</w:t>
      </w:r>
      <w:r>
        <w:rPr>
          <w:color w:val="231F20"/>
          <w:spacing w:val="-49"/>
        </w:rPr>
        <w:t>；</w:t>
      </w:r>
      <w:r>
        <w:rPr>
          <w:color w:val="231F20"/>
          <w:spacing w:val="5"/>
        </w:rPr>
        <w:t xml:space="preserve">改善 </w:t>
      </w:r>
      <w:r>
        <w:rPr>
          <w:color w:val="231F20"/>
          <w:spacing w:val="2"/>
        </w:rPr>
        <w:t>或者增设他物的范</w:t>
      </w:r>
      <w:r>
        <w:rPr>
          <w:color w:val="231F20"/>
        </w:rPr>
        <w:t>围：{</w:t>
      </w:r>
      <w:r>
        <w:rPr>
          <w:color w:val="231F20"/>
          <w:spacing w:val="2"/>
        </w:rPr>
        <w:t>改善或增设</w:t>
      </w:r>
      <w:r>
        <w:rPr>
          <w:color w:val="231F20"/>
        </w:rPr>
        <w:t>范</w:t>
      </w:r>
      <w:r>
        <w:rPr>
          <w:color w:val="231F20"/>
          <w:spacing w:val="2"/>
        </w:rPr>
        <w:t>围}</w:t>
        <w:tab/>
        <w:t>租赁合同期满，改善或者增设他物的 {处理方式}</w:t>
      </w:r>
    </w:p>
    <w:p>
      <w:pPr>
        <w:spacing w:after="0" w:line="304" w:lineRule="auto"/>
        <w:sectPr>
          <w:pgSz w:w="11910" w:h="16840"/>
          <w:pgMar w:header="0" w:footer="832" w:top="1580" w:bottom="1020" w:left="1300" w:right="1200"/>
        </w:sectPr>
      </w:pPr>
    </w:p>
    <w:p>
      <w:pPr>
        <w:pStyle w:val="BodyText"/>
        <w:tabs>
          <w:tab w:pos="9188" w:val="left" w:leader="none"/>
        </w:tabs>
        <w:spacing w:before="24"/>
        <w:ind w:left="117"/>
      </w:pPr>
      <w:r>
        <w:rPr>
          <w:color w:val="231F20"/>
        </w:rPr>
        <w:t>处理</w:t>
      </w:r>
      <w:r>
        <w:rPr>
          <w:color w:val="231F20"/>
          <w:u w:val="single" w:color="231F20"/>
        </w:rPr>
        <w:t>：{处理方式}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20.689737pt" to="524.409096pt,20.68973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第八条</w:t>
        <w:tab/>
      </w:r>
      <w:r>
        <w:rPr>
          <w:color w:val="231F20"/>
        </w:rPr>
        <w:t>出租人与承租人的变更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40" w:lineRule="auto" w:before="89" w:after="0"/>
        <w:ind w:left="775" w:right="0" w:hanging="218"/>
        <w:jc w:val="left"/>
        <w:rPr>
          <w:sz w:val="22"/>
        </w:rPr>
      </w:pPr>
      <w:r>
        <w:rPr>
          <w:color w:val="231F20"/>
          <w:spacing w:val="-4"/>
          <w:sz w:val="22"/>
        </w:rPr>
        <w:t>出租人将工程所有权转让给第三人；本合同在租赁期间对受让第三人继续有效。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40" w:lineRule="auto" w:before="89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承租人因经营需要，经出租人同意，在办理有关手续后，可将工程转租给第三人使用。</w:t>
      </w:r>
    </w:p>
    <w:p>
      <w:pPr>
        <w:pStyle w:val="BodyText"/>
        <w:tabs>
          <w:tab w:pos="1437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工程租赁用途的变更</w:t>
      </w:r>
    </w:p>
    <w:p>
      <w:pPr>
        <w:pStyle w:val="BodyText"/>
        <w:spacing w:line="304" w:lineRule="auto" w:before="88"/>
        <w:ind w:left="117" w:firstLine="440"/>
      </w:pPr>
      <w:r>
        <w:rPr>
          <w:color w:val="231F20"/>
        </w:rPr>
        <w:t>工程租赁期内，承租人应当保持工程符合本合同约定的用途；如需变更用途，应当书面报经出租人同意，双方签订补充协议或者重新签订合同。</w:t>
      </w:r>
    </w:p>
    <w:p>
      <w:pPr>
        <w:pStyle w:val="BodyText"/>
        <w:tabs>
          <w:tab w:pos="1437" w:val="left" w:leader="none"/>
        </w:tabs>
        <w:spacing w:before="14"/>
        <w:ind w:left="557"/>
      </w:pPr>
      <w:r>
        <w:rPr>
          <w:rFonts w:ascii="方正黑体_GBK" w:eastAsia="方正黑体_GBK" w:hint="eastAsia"/>
          <w:color w:val="231F20"/>
        </w:rPr>
        <w:t>第十条</w:t>
        <w:tab/>
      </w:r>
      <w:r>
        <w:rPr>
          <w:color w:val="231F20"/>
        </w:rPr>
        <w:t>租赁合同的解除</w:t>
      </w:r>
    </w:p>
    <w:p>
      <w:pPr>
        <w:pStyle w:val="BodyText"/>
        <w:ind w:left="557"/>
      </w:pPr>
      <w:r>
        <w:rPr>
          <w:color w:val="231F20"/>
        </w:rPr>
        <w:t>一、承租人有下列情形之一的，出租人有权解除合同：</w:t>
      </w:r>
    </w:p>
    <w:p>
      <w:pPr>
        <w:pStyle w:val="ListParagraph"/>
        <w:numPr>
          <w:ilvl w:val="0"/>
          <w:numId w:val="3"/>
        </w:numPr>
        <w:tabs>
          <w:tab w:pos="776" w:val="left" w:leader="none"/>
          <w:tab w:pos="3415" w:val="left" w:leader="none"/>
          <w:tab w:pos="6275" w:val="left" w:leader="none"/>
        </w:tabs>
        <w:spacing w:line="240" w:lineRule="auto" w:before="89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{拖欠工程使用费天</w:t>
      </w:r>
      <w:r>
        <w:rPr>
          <w:color w:val="231F20"/>
          <w:sz w:val="22"/>
          <w:u w:val="single" w:color="231F20"/>
        </w:rPr>
        <w:t>数}</w:t>
      </w:r>
      <w:r>
        <w:rPr>
          <w:color w:val="231F20"/>
          <w:sz w:val="22"/>
        </w:rPr>
        <w:t>或者拖欠水电费达到{</w:t>
      </w:r>
      <w:r>
        <w:rPr>
          <w:color w:val="231F20"/>
          <w:sz w:val="22"/>
          <w:u w:val="single" w:color="231F20"/>
        </w:rPr>
        <w:t>拖欠</w:t>
      </w:r>
      <w:r>
        <w:rPr>
          <w:color w:val="231F20"/>
          <w:sz w:val="22"/>
        </w:rPr>
        <w:t>水电费天数}以上的；</w:t>
      </w:r>
    </w:p>
    <w:p>
      <w:pPr>
        <w:pStyle w:val="ListParagraph"/>
        <w:numPr>
          <w:ilvl w:val="0"/>
          <w:numId w:val="3"/>
        </w:numPr>
        <w:tabs>
          <w:tab w:pos="776" w:val="left" w:leader="none"/>
        </w:tabs>
        <w:spacing w:line="240" w:lineRule="auto" w:before="89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擅自将工程使用权转让的；</w:t>
      </w:r>
    </w:p>
    <w:p>
      <w:pPr>
        <w:pStyle w:val="ListParagraph"/>
        <w:numPr>
          <w:ilvl w:val="0"/>
          <w:numId w:val="3"/>
        </w:numPr>
        <w:tabs>
          <w:tab w:pos="776" w:val="left" w:leader="none"/>
        </w:tabs>
        <w:spacing w:line="240" w:lineRule="auto" w:before="89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未经出租人同意，擅自对工程进行装修改造的；</w:t>
      </w:r>
    </w:p>
    <w:p>
      <w:pPr>
        <w:pStyle w:val="ListParagraph"/>
        <w:numPr>
          <w:ilvl w:val="0"/>
          <w:numId w:val="3"/>
        </w:numPr>
        <w:tabs>
          <w:tab w:pos="776" w:val="left" w:leader="none"/>
        </w:tabs>
        <w:spacing w:line="240" w:lineRule="auto" w:before="89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未经出租人同意，擅自改变租赁用途的；</w:t>
      </w:r>
    </w:p>
    <w:p>
      <w:pPr>
        <w:pStyle w:val="ListParagraph"/>
        <w:numPr>
          <w:ilvl w:val="0"/>
          <w:numId w:val="3"/>
        </w:numPr>
        <w:tabs>
          <w:tab w:pos="776" w:val="left" w:leader="none"/>
        </w:tabs>
        <w:spacing w:line="240" w:lineRule="auto" w:before="89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利用工程进行非法活动的。</w:t>
      </w:r>
    </w:p>
    <w:p>
      <w:pPr>
        <w:pStyle w:val="BodyText"/>
        <w:ind w:left="557"/>
      </w:pPr>
      <w:r>
        <w:rPr>
          <w:color w:val="231F20"/>
        </w:rPr>
        <w:t>二、出租人有下列情形之一的，承租人有权解除合同：</w:t>
      </w:r>
    </w:p>
    <w:p>
      <w:pPr>
        <w:pStyle w:val="ListParagraph"/>
        <w:numPr>
          <w:ilvl w:val="0"/>
          <w:numId w:val="4"/>
        </w:numPr>
        <w:tabs>
          <w:tab w:pos="776" w:val="left" w:leader="none"/>
          <w:tab w:pos="1875" w:val="left" w:leader="none"/>
        </w:tabs>
        <w:spacing w:line="240" w:lineRule="auto" w:before="89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逾期</w:t>
      </w:r>
      <w:r>
        <w:rPr>
          <w:color w:val="231F20"/>
          <w:sz w:val="22"/>
          <w:u w:val="single" w:color="231F20"/>
        </w:rPr>
        <w:t xml:space="preserve"> {</w:t>
      </w:r>
      <w:r>
        <w:rPr>
          <w:color w:val="231F20"/>
          <w:sz w:val="22"/>
        </w:rPr>
        <w:t>天数} 天未交付工程供承租人使用的；</w:t>
      </w:r>
    </w:p>
    <w:p>
      <w:pPr>
        <w:pStyle w:val="ListParagraph"/>
        <w:numPr>
          <w:ilvl w:val="0"/>
          <w:numId w:val="4"/>
        </w:numPr>
        <w:tabs>
          <w:tab w:pos="776" w:val="left" w:leader="none"/>
        </w:tabs>
        <w:spacing w:line="240" w:lineRule="auto" w:before="89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提供的工程不符合合同约定条件，不能正常使用的；</w:t>
      </w:r>
    </w:p>
    <w:p>
      <w:pPr>
        <w:pStyle w:val="ListParagraph"/>
        <w:numPr>
          <w:ilvl w:val="0"/>
          <w:numId w:val="4"/>
        </w:numPr>
        <w:tabs>
          <w:tab w:pos="776" w:val="left" w:leader="none"/>
        </w:tabs>
        <w:spacing w:line="240" w:lineRule="auto" w:before="89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在本合同约定的维修范围内未尽维修责任，使承租人无法正常使用的。</w:t>
      </w:r>
    </w:p>
    <w:p>
      <w:pPr>
        <w:pStyle w:val="BodyText"/>
        <w:tabs>
          <w:tab w:pos="1657" w:val="left" w:leader="none"/>
        </w:tabs>
        <w:spacing w:line="304" w:lineRule="auto" w:before="83"/>
        <w:ind w:left="557" w:right="6766"/>
      </w:pPr>
      <w:r>
        <w:rPr>
          <w:rFonts w:ascii="方正黑体_GBK" w:eastAsia="方正黑体_GBK" w:hint="eastAsia"/>
          <w:color w:val="231F20"/>
        </w:rPr>
        <w:t>第十一条</w:t>
        <w:tab/>
      </w:r>
      <w:r>
        <w:rPr>
          <w:color w:val="231F20"/>
        </w:rPr>
        <w:t>违约责任一、出租人责任</w:t>
      </w:r>
    </w:p>
    <w:p>
      <w:pPr>
        <w:pStyle w:val="ListParagraph"/>
        <w:numPr>
          <w:ilvl w:val="0"/>
          <w:numId w:val="5"/>
        </w:numPr>
        <w:tabs>
          <w:tab w:pos="776" w:val="left" w:leader="none"/>
        </w:tabs>
        <w:spacing w:line="240" w:lineRule="auto" w:before="21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未按时提供合同约定条件的工程，负责赔偿由此给承租人造成的损失；</w:t>
      </w:r>
    </w:p>
    <w:p>
      <w:pPr>
        <w:pStyle w:val="ListParagraph"/>
        <w:numPr>
          <w:ilvl w:val="0"/>
          <w:numId w:val="5"/>
        </w:numPr>
        <w:tabs>
          <w:tab w:pos="776" w:val="left" w:leader="none"/>
          <w:tab w:pos="6275" w:val="left" w:leader="none"/>
        </w:tabs>
        <w:spacing w:line="240" w:lineRule="auto" w:before="89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未按时（或按本合同约定）维修工程，偿付违约金</w:t>
      </w:r>
      <w:r>
        <w:rPr>
          <w:color w:val="231F20"/>
          <w:sz w:val="22"/>
          <w:u w:val="single" w:color="231F20"/>
        </w:rPr>
        <w:t xml:space="preserve"> {</w:t>
      </w:r>
      <w:r>
        <w:rPr>
          <w:color w:val="231F20"/>
          <w:sz w:val="22"/>
        </w:rPr>
        <w:t>违约金金额} 元；</w:t>
      </w:r>
    </w:p>
    <w:p>
      <w:pPr>
        <w:pStyle w:val="ListParagraph"/>
        <w:numPr>
          <w:ilvl w:val="0"/>
          <w:numId w:val="5"/>
        </w:numPr>
        <w:tabs>
          <w:tab w:pos="774" w:val="left" w:leader="none"/>
          <w:tab w:pos="5668" w:val="left" w:leader="none"/>
        </w:tabs>
        <w:spacing w:line="304" w:lineRule="auto" w:before="89" w:after="0"/>
        <w:ind w:left="117" w:right="115" w:firstLine="440"/>
        <w:jc w:val="left"/>
        <w:rPr>
          <w:sz w:val="22"/>
        </w:rPr>
      </w:pPr>
      <w:r>
        <w:rPr>
          <w:color w:val="231F20"/>
          <w:sz w:val="22"/>
        </w:rPr>
        <w:t>除不可抗力因素外</w:t>
      </w:r>
      <w:r>
        <w:rPr>
          <w:color w:val="231F20"/>
          <w:spacing w:val="-55"/>
          <w:sz w:val="22"/>
        </w:rPr>
        <w:t>；</w:t>
      </w:r>
      <w:r>
        <w:rPr>
          <w:color w:val="231F20"/>
          <w:sz w:val="22"/>
        </w:rPr>
        <w:t>因工程主体结构</w:t>
      </w:r>
      <w:r>
        <w:rPr>
          <w:color w:val="231F20"/>
          <w:sz w:val="22"/>
          <w:u w:val="single" w:color="231F20"/>
        </w:rPr>
        <w:t>、</w:t>
        <w:tab/>
      </w:r>
      <w:r>
        <w:rPr>
          <w:color w:val="231F20"/>
          <w:sz w:val="22"/>
        </w:rPr>
        <w:t>造成承租人人身受到伤害或者财产损毁的，负责赔偿损失。</w:t>
      </w:r>
    </w:p>
    <w:p>
      <w:pPr>
        <w:pStyle w:val="BodyText"/>
        <w:spacing w:before="21"/>
        <w:ind w:left="557"/>
      </w:pPr>
      <w:r>
        <w:rPr>
          <w:color w:val="231F20"/>
        </w:rPr>
        <w:t>二、承租人责任</w:t>
      </w:r>
    </w:p>
    <w:p>
      <w:pPr>
        <w:pStyle w:val="ListParagraph"/>
        <w:numPr>
          <w:ilvl w:val="0"/>
          <w:numId w:val="6"/>
        </w:numPr>
        <w:tabs>
          <w:tab w:pos="776" w:val="left" w:leader="none"/>
        </w:tabs>
        <w:spacing w:line="240" w:lineRule="auto" w:before="89" w:after="0"/>
        <w:ind w:left="557" w:right="0" w:firstLine="0"/>
        <w:jc w:val="left"/>
        <w:rPr>
          <w:sz w:val="22"/>
        </w:rPr>
      </w:pPr>
      <w:r>
        <w:rPr>
          <w:color w:val="231F20"/>
          <w:sz w:val="22"/>
        </w:rPr>
        <w:t>未按时缴纳人民防空工程使用费，应如数补缴，并按每天千分之二的比例加收滞纳金；</w:t>
      </w:r>
    </w:p>
    <w:p>
      <w:pPr>
        <w:pStyle w:val="ListParagraph"/>
        <w:numPr>
          <w:ilvl w:val="0"/>
          <w:numId w:val="6"/>
        </w:numPr>
        <w:tabs>
          <w:tab w:pos="776" w:val="left" w:leader="none"/>
        </w:tabs>
        <w:spacing w:line="240" w:lineRule="auto" w:before="89" w:after="0"/>
        <w:ind w:left="557" w:right="0" w:firstLine="0"/>
        <w:jc w:val="left"/>
        <w:rPr>
          <w:sz w:val="22"/>
        </w:rPr>
      </w:pPr>
      <w:r>
        <w:rPr>
          <w:color w:val="231F20"/>
          <w:spacing w:val="-7"/>
          <w:sz w:val="22"/>
        </w:rPr>
        <w:t>由于使用不当或其他承租人原因造成工程损坏及发生安全事故的；负责修复并赔偿损失；</w:t>
      </w:r>
    </w:p>
    <w:p>
      <w:pPr>
        <w:pStyle w:val="ListParagraph"/>
        <w:numPr>
          <w:ilvl w:val="0"/>
          <w:numId w:val="6"/>
        </w:numPr>
        <w:tabs>
          <w:tab w:pos="776" w:val="left" w:leader="none"/>
        </w:tabs>
        <w:spacing w:line="240" w:lineRule="auto" w:before="89" w:after="0"/>
        <w:ind w:left="557" w:right="0" w:firstLine="0"/>
        <w:jc w:val="left"/>
        <w:rPr>
          <w:sz w:val="22"/>
        </w:rPr>
      </w:pPr>
      <w:r>
        <w:rPr>
          <w:color w:val="231F20"/>
          <w:spacing w:val="-8"/>
          <w:sz w:val="22"/>
        </w:rPr>
        <w:t>未经出租人同意，擅自对工程进行装修改造的；负责按出租人要求恢复原状并赔偿损失；</w:t>
      </w:r>
    </w:p>
    <w:p>
      <w:pPr>
        <w:pStyle w:val="ListParagraph"/>
        <w:numPr>
          <w:ilvl w:val="0"/>
          <w:numId w:val="6"/>
        </w:numPr>
        <w:tabs>
          <w:tab w:pos="776" w:val="left" w:leader="none"/>
          <w:tab w:pos="8695" w:val="left" w:leader="none"/>
        </w:tabs>
        <w:spacing w:line="304" w:lineRule="auto" w:before="89" w:after="0"/>
        <w:ind w:left="557" w:right="167" w:firstLine="0"/>
        <w:jc w:val="left"/>
        <w:rPr>
          <w:sz w:val="22"/>
        </w:rPr>
      </w:pPr>
      <w:r>
        <w:rPr>
          <w:color w:val="231F20"/>
          <w:sz w:val="22"/>
        </w:rPr>
        <w:t>逾期不归还人民防空工程使用权，除补缴人民防空工程使用费外，偿付违约金</w:t>
      </w:r>
      <w:r>
        <w:rPr>
          <w:color w:val="231F20"/>
          <w:sz w:val="22"/>
          <w:u w:val="single" w:color="231F20"/>
        </w:rPr>
        <w:t>{违</w:t>
      </w:r>
      <w:r>
        <w:rPr>
          <w:color w:val="231F20"/>
          <w:sz w:val="22"/>
        </w:rPr>
        <w:t>约金金额}元。三、因国家战备需要终止合同，出租人不负赔偿责任。</w:t>
      </w:r>
    </w:p>
    <w:p>
      <w:pPr>
        <w:pStyle w:val="BodyText"/>
        <w:tabs>
          <w:tab w:pos="1657" w:val="left" w:leader="none"/>
        </w:tabs>
        <w:spacing w:before="15"/>
        <w:ind w:left="557"/>
      </w:pPr>
      <w:r>
        <w:rPr>
          <w:rFonts w:ascii="方正黑体_GBK" w:eastAsia="方正黑体_GBK" w:hint="eastAsia"/>
          <w:color w:val="231F20"/>
        </w:rPr>
        <w:t>第十二条</w:t>
        <w:tab/>
      </w:r>
      <w:r>
        <w:rPr>
          <w:color w:val="231F20"/>
        </w:rPr>
        <w:t>合同争议解决方式</w:t>
      </w:r>
    </w:p>
    <w:p>
      <w:pPr>
        <w:pStyle w:val="BodyText"/>
        <w:tabs>
          <w:tab w:pos="8742" w:val="left" w:leader="none"/>
        </w:tabs>
        <w:ind w:left="557"/>
      </w:pPr>
      <w:r>
        <w:rPr>
          <w:color w:val="231F20"/>
          <w:spacing w:val="5"/>
        </w:rPr>
        <w:t>本合同在履行过程中发生争</w:t>
      </w:r>
      <w:r>
        <w:rPr>
          <w:color w:val="231F20"/>
          <w:spacing w:val="2"/>
        </w:rPr>
        <w:t>议</w:t>
      </w:r>
      <w:r>
        <w:rPr>
          <w:color w:val="231F20"/>
          <w:spacing w:val="5"/>
        </w:rPr>
        <w:t>，同当事人双方协商解</w:t>
      </w:r>
      <w:r>
        <w:rPr>
          <w:color w:val="231F20"/>
          <w:spacing w:val="2"/>
        </w:rPr>
        <w:t>决</w:t>
      </w:r>
      <w:r>
        <w:rPr>
          <w:color w:val="231F20"/>
          <w:spacing w:val="5"/>
        </w:rPr>
        <w:t>。协商不成</w:t>
      </w:r>
      <w:r>
        <w:rPr>
          <w:color w:val="231F20"/>
          <w:spacing w:val="2"/>
        </w:rPr>
        <w:t>的</w:t>
      </w:r>
      <w:r>
        <w:rPr>
          <w:color w:val="231F20"/>
          <w:spacing w:val="5"/>
        </w:rPr>
        <w:t>，按下列</w:t>
      </w:r>
      <w:r>
        <w:rPr>
          <w:color w:val="231F20"/>
        </w:rPr>
        <w:t>第</w:t>
        <w:tab/>
      </w:r>
      <w:r>
        <w:rPr>
          <w:color w:val="231F20"/>
          <w:spacing w:val="5"/>
        </w:rPr>
        <w:t>种方</w:t>
      </w:r>
    </w:p>
    <w:p>
      <w:pPr>
        <w:spacing w:after="0"/>
        <w:sectPr>
          <w:pgSz w:w="11910" w:h="16840"/>
          <w:pgMar w:header="0" w:footer="832" w:top="1580" w:bottom="1020" w:left="1300" w:right="1300"/>
        </w:sectPr>
      </w:pPr>
    </w:p>
    <w:p>
      <w:pPr>
        <w:pStyle w:val="BodyText"/>
        <w:spacing w:before="24"/>
        <w:ind w:left="117"/>
      </w:pPr>
      <w:r>
        <w:rPr>
          <w:color w:val="231F20"/>
        </w:rPr>
        <w:t>式解决：</w:t>
      </w:r>
    </w:p>
    <w:p>
      <w:pPr>
        <w:pStyle w:val="ListParagraph"/>
        <w:numPr>
          <w:ilvl w:val="0"/>
          <w:numId w:val="7"/>
        </w:numPr>
        <w:tabs>
          <w:tab w:pos="776" w:val="left" w:leader="none"/>
          <w:tab w:pos="2535" w:val="left" w:leader="none"/>
        </w:tabs>
        <w:spacing w:line="240" w:lineRule="auto" w:before="89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提交</w:t>
      </w:r>
      <w:r>
        <w:rPr>
          <w:color w:val="231F20"/>
          <w:sz w:val="22"/>
          <w:u w:val="single" w:color="231F20"/>
        </w:rPr>
        <w:t>{仲</w:t>
      </w:r>
      <w:r>
        <w:rPr>
          <w:color w:val="231F20"/>
          <w:sz w:val="22"/>
        </w:rPr>
        <w:t>裁方式}仲裁；</w:t>
      </w:r>
    </w:p>
    <w:p>
      <w:pPr>
        <w:pStyle w:val="ListParagraph"/>
        <w:numPr>
          <w:ilvl w:val="0"/>
          <w:numId w:val="7"/>
        </w:numPr>
        <w:tabs>
          <w:tab w:pos="776" w:val="left" w:leader="none"/>
        </w:tabs>
        <w:spacing w:line="240" w:lineRule="auto" w:before="89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依法向人民法院起诉。</w:t>
      </w:r>
    </w:p>
    <w:p>
      <w:pPr>
        <w:pStyle w:val="BodyText"/>
        <w:tabs>
          <w:tab w:pos="165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第十三条</w:t>
        <w:tab/>
      </w:r>
      <w:r>
        <w:rPr>
          <w:color w:val="231F20"/>
        </w:rPr>
        <w:t>其他约定事项</w:t>
      </w:r>
    </w:p>
    <w:p>
      <w:pPr>
        <w:pStyle w:val="BodyText"/>
        <w:tabs>
          <w:tab w:pos="6055" w:val="left" w:leader="none"/>
        </w:tabs>
        <w:ind w:left="557"/>
      </w:pPr>
      <w:r>
        <w:rPr>
          <w:color w:val="231F20"/>
        </w:rPr>
        <w:t>1.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任何一方需要提前解除或续签合同，应提前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天数} 天与对方协商。</w:t>
      </w:r>
    </w:p>
    <w:p>
      <w:pPr>
        <w:pStyle w:val="BodyText"/>
        <w:tabs>
          <w:tab w:pos="9188" w:val="left" w:leader="none"/>
        </w:tabs>
        <w:ind w:left="557"/>
        <w:rPr>
          <w:rFonts w:ascii="Times New Roman"/>
        </w:rPr>
      </w:pPr>
      <w:r>
        <w:rPr>
          <w:color w:val="231F20"/>
        </w:rPr>
        <w:t>2.</w:t>
      </w:r>
      <w:r>
        <w:rPr>
          <w:rFonts w:ascii="Times New Roman"/>
          <w:color w:val="231F20"/>
          <w:u w:val="single" w:color="231F20"/>
        </w:rPr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9.195536pt" to="524.409096pt,9.195536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before="63"/>
        <w:ind w:left="557"/>
        <w:rPr>
          <w:rFonts w:ascii="Times New Roman"/>
        </w:rPr>
      </w:pPr>
      <w:r>
        <w:rPr>
          <w:color w:val="231F20"/>
        </w:rPr>
        <w:t>3.</w:t>
      </w:r>
      <w:r>
        <w:rPr>
          <w:rFonts w:ascii="Times New Roman"/>
          <w:color w:val="231F20"/>
          <w:u w:val="single" w:color="231F20"/>
        </w:rPr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96;mso-wrap-distance-left:0;mso-wrap-distance-right:0" from="70.866096pt,9.169614pt" to="524.409096pt,9.169614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63" w:val="left" w:leader="none"/>
        </w:tabs>
        <w:spacing w:line="304" w:lineRule="auto" w:before="57"/>
        <w:ind w:left="117" w:right="112" w:firstLine="440"/>
      </w:pPr>
      <w:r>
        <w:rPr>
          <w:rFonts w:ascii="方正黑体_GBK" w:eastAsia="方正黑体_GBK" w:hint="eastAsia"/>
          <w:color w:val="231F20"/>
        </w:rPr>
        <w:t>第十四条</w:t>
        <w:tab/>
      </w:r>
      <w:r>
        <w:rPr>
          <w:color w:val="231F20"/>
        </w:rPr>
        <w:t>本合同未尽事宜，按国家有关法律和行政法规，由双方协商做出补充协议。补充协议与本合同具有同等效力。</w:t>
      </w:r>
    </w:p>
    <w:p>
      <w:pPr>
        <w:pStyle w:val="BodyText"/>
        <w:tabs>
          <w:tab w:pos="1663" w:val="left" w:leader="none"/>
        </w:tabs>
        <w:spacing w:line="304" w:lineRule="auto" w:before="14"/>
        <w:ind w:left="117" w:right="112" w:firstLine="440"/>
      </w:pPr>
      <w:r>
        <w:rPr>
          <w:rFonts w:ascii="方正黑体_GBK" w:eastAsia="方正黑体_GBK" w:hint="eastAsia"/>
          <w:color w:val="231F20"/>
        </w:rPr>
        <w:t xml:space="preserve">第十五条 </w:t>
      </w:r>
      <w:r>
        <w:rPr>
          <w:color w:val="231F20"/>
        </w:rPr>
        <w:t>承租人在本合同签订后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{</w:t>
      </w:r>
      <w:r>
        <w:rPr>
          <w:color w:val="231F20"/>
          <w:spacing w:val="15"/>
        </w:rPr>
        <w:t>工</w:t>
      </w:r>
      <w:r>
        <w:rPr>
          <w:color w:val="231F20"/>
        </w:rPr>
        <w:t>作日时长} 个工作日内，应当到 {工程所在地} 人民防空主管部门办理 {</w:t>
      </w:r>
      <w:r>
        <w:rPr>
          <w:color w:val="231F20"/>
          <w:spacing w:val="-83"/>
        </w:rPr>
        <w:t>证</w:t>
      </w:r>
      <w:r>
        <w:rPr>
          <w:color w:val="231F20"/>
        </w:rPr>
        <w:t>件名称} 《人民防空工程平时使用证》。承租人取得使用证后本合同生效。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3"/>
        <w:rPr>
          <w:sz w:val="33"/>
        </w:rPr>
      </w:pPr>
    </w:p>
    <w:p>
      <w:pPr>
        <w:pStyle w:val="BodyText"/>
        <w:tabs>
          <w:tab w:pos="4597" w:val="left" w:leader="none"/>
        </w:tabs>
        <w:spacing w:before="1"/>
        <w:ind w:left="557"/>
      </w:pPr>
      <w:r>
        <w:rPr>
          <w:color w:val="231F20"/>
        </w:rPr>
        <w:t>出租人（盖章）</w:t>
        <w:tab/>
        <w:t>承租人（盖章）</w:t>
      </w:r>
    </w:p>
    <w:p>
      <w:pPr>
        <w:pStyle w:val="BodyText"/>
        <w:tabs>
          <w:tab w:pos="4597" w:val="left" w:leader="none"/>
        </w:tabs>
        <w:ind w:left="557"/>
      </w:pPr>
      <w:r>
        <w:rPr>
          <w:color w:val="231F20"/>
        </w:rPr>
        <w:t>地址：{地址}</w:t>
      </w:r>
    </w:p>
    <w:p>
      <w:pPr>
        <w:pStyle w:val="BodyText"/>
        <w:tabs>
          <w:tab w:pos="4597" w:val="left" w:leader="none"/>
        </w:tabs>
        <w:ind w:left="557"/>
      </w:pPr>
      <w:r>
        <w:rPr>
          <w:color w:val="231F20"/>
        </w:rPr>
        <w:t>法定代表人：{法定代表人}</w:t>
      </w:r>
    </w:p>
    <w:p>
      <w:pPr>
        <w:pStyle w:val="BodyText"/>
        <w:tabs>
          <w:tab w:pos="4597" w:val="left" w:leader="none"/>
        </w:tabs>
        <w:ind w:left="557"/>
      </w:pPr>
      <w:r>
        <w:rPr>
          <w:color w:val="231F20"/>
        </w:rPr>
        <w:t>委托代理人：{委托代理人}</w:t>
      </w:r>
    </w:p>
    <w:p>
      <w:pPr>
        <w:pStyle w:val="BodyText"/>
        <w:tabs>
          <w:tab w:pos="4597" w:val="left" w:leader="none"/>
        </w:tabs>
        <w:ind w:left="557"/>
      </w:pPr>
      <w:r>
        <w:rPr>
          <w:color w:val="231F20"/>
        </w:rPr>
        <w:t>开户银行：{开户银行}</w:t>
      </w:r>
    </w:p>
    <w:p>
      <w:pPr>
        <w:pStyle w:val="BodyText"/>
        <w:tabs>
          <w:tab w:pos="4597" w:val="left" w:leader="none"/>
        </w:tabs>
        <w:ind w:left="557"/>
      </w:pPr>
      <w:r>
        <w:rPr>
          <w:color w:val="231F20"/>
        </w:rPr>
        <w:t>账号：{账号}</w:t>
      </w:r>
    </w:p>
    <w:p>
      <w:pPr>
        <w:pStyle w:val="BodyText"/>
        <w:tabs>
          <w:tab w:pos="4597" w:val="left" w:leader="none"/>
        </w:tabs>
        <w:ind w:left="557"/>
      </w:pPr>
      <w:r>
        <w:rPr>
          <w:color w:val="231F20"/>
        </w:rPr>
        <w:t>电话：{联系电话}</w:t>
      </w:r>
    </w:p>
    <w:p>
      <w:pPr>
        <w:pStyle w:val="BodyText"/>
        <w:spacing w:line="304" w:lineRule="auto"/>
        <w:ind w:left="557" w:right="7633"/>
      </w:pPr>
      <w:r>
        <w:rPr>
          <w:color w:val="231F20"/>
        </w:rPr>
        <w:t xml:space="preserve">签订地点：{签订地点}  </w:t>
        <w:br/>
        <w:t>签订日期：{签订日期}</w:t>
      </w:r>
    </w:p>
    <w:sectPr>
      <w:pgSz w:w="11910" w:h="16840"/>
      <w:pgMar w:header="0" w:footer="832" w:top="1580" w:bottom="102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7.409424pt;margin-top:789.265808pt;width:9pt;height:13.1pt;mso-position-horizontal-relative:page;mso-position-vertical-relative:page;z-index:-5008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8.866096pt;margin-top:789.265808pt;width:9pt;height:13.1pt;mso-position-horizontal-relative:page;mso-position-vertical-relative:page;z-index:-4984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775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32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5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7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0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5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7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0" w:hanging="219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57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434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9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83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8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7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1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6" w:hanging="219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38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57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5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4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1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9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8" w:hanging="219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75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32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5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7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0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5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7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0" w:hanging="219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75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32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5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7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0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5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7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0" w:hanging="21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75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55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32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5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7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0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5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7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0" w:hanging="21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75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42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5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7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0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9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5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7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0" w:hanging="219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spacing w:before="89"/>
    </w:pPr>
    <w:rPr>
      <w:rFonts w:ascii="方正书宋_GBK" w:hAnsi="方正书宋_GBK" w:eastAsia="方正书宋_GBK" w:cs="方正书宋_GBK"/>
      <w:sz w:val="22"/>
      <w:szCs w:val="22"/>
    </w:rPr>
  </w:style>
  <w:style w:styleId="Heading1" w:type="paragraph">
    <w:name w:val="Heading 1"/>
    <w:basedOn w:val="Normal"/>
    <w:uiPriority w:val="1"/>
    <w:qFormat/>
    <w:pPr>
      <w:ind w:left="2371"/>
      <w:jc w:val="center"/>
      <w:outlineLvl w:val="1"/>
    </w:pPr>
    <w:rPr>
      <w:rFonts w:ascii="方正楷体_GBK" w:hAnsi="方正楷体_GBK" w:eastAsia="方正楷体_GBK" w:cs="方正楷体_GBK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89"/>
      <w:ind w:left="775" w:hanging="218"/>
    </w:pPr>
    <w:rPr>
      <w:rFonts w:ascii="方正书宋_GBK" w:hAnsi="方正书宋_GBK" w:eastAsia="方正书宋_GBK" w:cs="方正书宋_GBK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2021-12-01T23:29:44Z</dcterms:created>
  <dcterms:modified xsi:type="dcterms:W3CDTF">2021-12-01T23:29:44Z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