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GF—2000—0901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795" w:right="379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仓储合同</w:t>
      </w:r>
    </w:p>
    <w:p>
      <w:pPr>
        <w:spacing w:before="152"/>
        <w:ind w:left="3795" w:right="379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062" w:val="left" w:leader="none"/>
        </w:tabs>
        <w:ind w:left="515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362" w:val="left" w:leader="none"/>
          <w:tab w:pos="5157" w:val="left" w:leader="none"/>
          <w:tab w:pos="9062" w:val="left" w:leader="none"/>
        </w:tabs>
        <w:spacing w:before="89"/>
        <w:ind w:left="557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保管人}</w:t>
        <w:tab/>
      </w:r>
      <w:r>
        <w:rPr>
          <w:color w:val="231F20"/>
          <w:u w:val="single" w:color="231F20"/>
        </w:rPr>
        <w:t>签订地点：{签订地点}</w:t>
      </w:r>
    </w:p>
    <w:p>
      <w:pPr>
        <w:pStyle w:val="BodyText"/>
        <w:tabs>
          <w:tab w:pos="3362" w:val="left" w:leader="none"/>
          <w:tab w:pos="5157" w:val="left" w:leader="none"/>
          <w:tab w:pos="7302" w:val="left" w:leader="none"/>
          <w:tab w:pos="7962" w:val="left" w:leader="none"/>
          <w:tab w:pos="8622" w:val="left" w:leader="none"/>
        </w:tabs>
        <w:spacing w:before="89"/>
        <w:ind w:left="557"/>
      </w:pPr>
      <w:r>
        <w:rPr>
          <w:color w:val="231F20"/>
        </w:rPr>
        <w:t>存货人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存货人名称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年份}</w:t>
        <w:tab/>
        <w:t>{月份}</w:t>
        <w:tab/>
        <w:t>{日期}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仓储物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spacing w:before="18"/>
              <w:ind w:left="362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品名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231F20"/>
                <w:sz w:val="18"/>
              </w:rPr>
              <w:t>品种规格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4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性质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color w:val="231F20"/>
                <w:sz w:val="18"/>
              </w:rPr>
              <w:t>标记</w:t>
            </w: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(注：{空格数量}如不够用，可以另接){联系电话}</w:t>
      </w:r>
    </w:p>
    <w:p>
      <w:pPr>
        <w:pStyle w:val="BodyText"/>
        <w:tabs>
          <w:tab w:pos="1437" w:val="left" w:leader="none"/>
          <w:tab w:pos="9188" w:val="left" w:leader="none"/>
        </w:tabs>
        <w:spacing w:before="132"/>
        <w:ind w:left="557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储存场所、储存物占用仓库位置及面积</w:t>
      </w:r>
      <w:r>
        <w:rPr>
          <w:color w:val="231F20"/>
          <w:u w:val="single" w:color="231F20"/>
        </w:rPr>
        <w:t>：{储存场所信息}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832pt" to="524.409096pt,20.690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40" w:lineRule="atLeast"/>
        <w:ind w:left="557" w:right="115"/>
        <w:jc w:val="both"/>
      </w:pP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仓储物（是 / {是否瑕疵}）有瑕</w:t>
      </w:r>
      <w:r>
        <w:rPr>
          <w:color w:val="231F20"/>
          <w:u w:val="single" w:color="231F20"/>
        </w:rPr>
        <w:t>疵。瑕</w:t>
      </w:r>
      <w:r>
        <w:rPr>
          <w:rFonts w:ascii="方正黑体_GBK" w:eastAsia="方正黑体_GBK" w:hint="eastAsia"/>
          <w:color w:val="231F20"/>
        </w:rPr>
        <w:t>疵是：{瑕</w:t>
      </w:r>
      <w:r>
        <w:rPr>
          <w:rFonts w:ascii="方正黑体_GBK" w:eastAsia="方正黑体_GBK" w:hint="eastAsia"/>
          <w:color w:val="231F20"/>
          <w:spacing w:val="35"/>
        </w:rPr>
        <w:t>疵</w:t>
      </w:r>
      <w:r>
        <w:rPr>
          <w:color w:val="231F20"/>
        </w:rPr>
        <w:t xml:space="preserve">描述}  </w:t>
        <w:br/>
        <w:t>第四条 仓储物（是 / {是否特殊措施}）需</w:t>
      </w:r>
      <w:r>
        <w:rPr>
          <w:color w:val="231F20"/>
          <w:u w:val="single" w:color="231F20"/>
        </w:rPr>
        <w:t>要采取</w:t>
      </w:r>
      <w:r>
        <w:rPr>
          <w:rFonts w:ascii="方正黑体_GBK" w:eastAsia="方正黑体_GBK" w:hint="eastAsia"/>
          <w:color w:val="231F20"/>
        </w:rPr>
        <w:t>特殊保管措</w:t>
      </w:r>
      <w:r>
        <w:rPr>
          <w:rFonts w:ascii="方正黑体_GBK" w:eastAsia="方正黑体_GBK" w:hint="eastAsia"/>
          <w:color w:val="231F20"/>
          <w:spacing w:val="35"/>
        </w:rPr>
        <w:t>施</w:t>
      </w:r>
      <w:r>
        <w:rPr>
          <w:color w:val="231F20"/>
        </w:rPr>
        <w:t xml:space="preserve">。特殊保管措施是：{措施描述} </w:t>
      </w:r>
      <w:r>
        <w:rPr>
          <w:color w:val="231F20"/>
          <w:u w:val="single" w:color="231F20"/>
        </w:rPr>
        <w:t xml:space="preserve"> </w:t>
        <w:br/>
        <w:t>第</w:t>
      </w:r>
      <w:r>
        <w:rPr>
          <w:rFonts w:ascii="方正黑体_GBK" w:eastAsia="方正黑体_GBK" w:hint="eastAsia"/>
          <w:color w:val="231F20"/>
        </w:rPr>
        <w:t>五条 仓储</w:t>
      </w:r>
      <w:r>
        <w:rPr>
          <w:rFonts w:ascii="方正黑体_GBK" w:eastAsia="方正黑体_GBK" w:hint="eastAsia"/>
          <w:color w:val="231F20"/>
          <w:spacing w:val="35"/>
        </w:rPr>
        <w:t>物</w:t>
      </w:r>
      <w:r>
        <w:rPr>
          <w:color w:val="231F20"/>
        </w:rPr>
        <w:t xml:space="preserve">入库检验的方法、时间与地点：{方法}、{时间}、{地点}  </w:t>
        <w:br/>
        <w:t>第六条 存货人交付仓储物后，保管人应当给付仓单。</w:t>
      </w:r>
    </w:p>
    <w:p>
      <w:pPr>
        <w:pStyle w:val="BodyText"/>
        <w:tabs>
          <w:tab w:pos="1437" w:val="left" w:leader="none"/>
          <w:tab w:pos="3582" w:val="left" w:leader="none"/>
          <w:tab w:pos="4242" w:val="left" w:leader="none"/>
          <w:tab w:pos="4902" w:val="left" w:leader="none"/>
          <w:tab w:pos="6222" w:val="left" w:leader="none"/>
          <w:tab w:pos="6882" w:val="left" w:leader="none"/>
          <w:tab w:pos="7542" w:val="left" w:leader="none"/>
        </w:tabs>
        <w:spacing w:before="83"/>
        <w:ind w:left="557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 xml:space="preserve">第七条 </w:t>
      </w:r>
      <w:r>
        <w:rPr>
          <w:color w:val="231F20"/>
        </w:rPr>
        <w:t>储存期限</w:t>
      </w:r>
      <w:r>
        <w:rPr>
          <w:color w:val="231F20"/>
          <w:spacing w:val="-55"/>
        </w:rPr>
        <w:t>：</w:t>
      </w:r>
      <w:r>
        <w:rPr>
          <w:color w:val="231F20"/>
        </w:rPr>
        <w:t>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月}</w:t>
      </w:r>
      <w:r>
        <w:rPr>
          <w:color w:val="231F20"/>
        </w:rPr>
        <w:t xml:space="preserve"> {</w:t>
      </w:r>
      <w:r>
        <w:rPr>
          <w:color w:val="231F20"/>
          <w:u w:val="single" w:color="231F20"/>
        </w:rPr>
        <w:t>日}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至 </w:t>
      </w:r>
      <w:r>
        <w:rPr>
          <w:color w:val="231F20"/>
        </w:rPr>
        <w:t>{</w:t>
      </w:r>
      <w:r>
        <w:rPr>
          <w:color w:val="231F20"/>
          <w:u w:val="single" w:color="231F20"/>
        </w:rPr>
        <w:t>年}</w:t>
      </w:r>
      <w:r>
        <w:rPr>
          <w:color w:val="231F20"/>
        </w:rPr>
        <w:t xml:space="preserve"> {月} {日}。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 xml:space="preserve">第八条 </w:t>
      </w:r>
      <w:r>
        <w:rPr>
          <w:color w:val="231F20"/>
        </w:rPr>
        <w:t>{仓储物的损耗标准及计算方</w:t>
      </w:r>
      <w:r>
        <w:rPr>
          <w:color w:val="231F20"/>
          <w:u w:val="single" w:color="231F20"/>
        </w:rPr>
        <w:t>法}：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97987pt" to="524.409096pt,20.69798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保管人发现仓储物有变质或损坏的，应及时通知存货人或仓单持有人。</w:t>
      </w:r>
    </w:p>
    <w:p>
      <w:pPr>
        <w:pStyle w:val="BodyText"/>
        <w:tabs>
          <w:tab w:pos="1457" w:val="left" w:leader="none"/>
          <w:tab w:pos="1602" w:val="left" w:leader="none"/>
          <w:tab w:pos="5727" w:val="left" w:leader="none"/>
          <w:tab w:pos="6561" w:val="left" w:leader="none"/>
          <w:tab w:pos="8514" w:val="left" w:leader="none"/>
        </w:tabs>
        <w:spacing w:line="304" w:lineRule="auto" w:before="82"/>
        <w:ind w:left="117" w:right="115" w:firstLine="440"/>
      </w:pPr>
      <w:r>
        <w:rPr>
          <w:rFonts w:ascii="方正黑体_GBK" w:eastAsia="方正黑体_GBK" w:hint="eastAsia"/>
          <w:color w:val="231F20"/>
          <w:spacing w:val="5"/>
        </w:rPr>
        <w:t>第十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仓储</w:t>
      </w:r>
      <w:r>
        <w:rPr>
          <w:color w:val="231F20"/>
        </w:rPr>
        <w:t>物</w:t>
      </w:r>
      <w:r>
        <w:rPr>
          <w:color w:val="231F20"/>
          <w:spacing w:val="5"/>
        </w:rPr>
        <w:t>（</w:t>
      </w:r>
      <w:r>
        <w:rPr>
          <w:color w:val="231F20"/>
        </w:rPr>
        <w:t>是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5"/>
        </w:rPr>
        <w:t>否）已办理保</w:t>
      </w:r>
      <w:r>
        <w:rPr>
          <w:color w:val="231F20"/>
        </w:rPr>
        <w:t>险</w:t>
      </w:r>
      <w:r>
        <w:rPr>
          <w:color w:val="231F20"/>
          <w:spacing w:val="5"/>
        </w:rPr>
        <w:t>，险种名</w:t>
      </w:r>
      <w:r>
        <w:rPr>
          <w:color w:val="231F20"/>
        </w:rPr>
        <w:t>称：{险</w:t>
      </w:r>
      <w:r>
        <w:rPr>
          <w:color w:val="231F20"/>
          <w:spacing w:val="-49"/>
        </w:rPr>
        <w:t>种</w:t>
      </w:r>
      <w:r>
        <w:rPr>
          <w:color w:val="231F20"/>
          <w:spacing w:val="5"/>
        </w:rPr>
        <w:t>名称}</w:t>
      </w:r>
      <w:r>
        <w:rPr>
          <w:color w:val="231F20"/>
        </w:rPr>
        <w:t>；</w:t>
      </w:r>
      <w:r>
        <w:rPr>
          <w:color w:val="231F20"/>
          <w:u w:val="single" w:color="231F20"/>
        </w:rPr>
        <w:t>保</w:t>
      </w:r>
      <w:r>
        <w:rPr>
          <w:color w:val="231F20"/>
          <w:spacing w:val="-49"/>
        </w:rPr>
        <w:t>险</w:t>
      </w:r>
      <w:r>
        <w:rPr>
          <w:color w:val="231F20"/>
          <w:spacing w:val="5"/>
        </w:rPr>
        <w:t>金</w:t>
      </w:r>
      <w:r>
        <w:rPr>
          <w:color w:val="231F20"/>
        </w:rPr>
        <w:t>额{保</w:t>
      </w:r>
      <w:r>
        <w:rPr>
          <w:color w:val="231F20"/>
          <w:u w:val="single" w:color="231F20"/>
        </w:rPr>
        <w:t>险金额</w:t>
      </w:r>
      <w:r>
        <w:rPr>
          <w:color w:val="231F20"/>
          <w:spacing w:val="-55"/>
        </w:rPr>
        <w:t>}</w:t>
      </w:r>
      <w:r>
        <w:rPr>
          <w:color w:val="231F20"/>
        </w:rPr>
        <w:t>；保险期限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保险期限}；保险人名称：{保险人名称}。</w:t>
      </w:r>
    </w:p>
    <w:p>
      <w:pPr>
        <w:pStyle w:val="BodyText"/>
        <w:spacing w:before="5"/>
        <w:rPr>
          <w:sz w:val="28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65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{出库检验方法与时间}：</w:t>
      </w:r>
      <w:r>
        <w:rPr>
          <w:color w:val="231F20"/>
          <w:u w:val="single" w:color="231F20"/>
        </w:rPr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611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仓储费 ( 大写</w:t>
      </w:r>
      <w:r>
        <w:rPr>
          <w:color w:val="231F20"/>
          <w:spacing w:val="-28"/>
        </w:rPr>
        <w:t>）：{</w:t>
      </w:r>
      <w:r>
        <w:rPr>
          <w:color w:val="231F20"/>
        </w:rPr>
        <w:t>金额} 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第十三条 </w:t>
      </w:r>
      <w:r>
        <w:rPr>
          <w:color w:val="231F20"/>
        </w:rPr>
        <w:t>{仓储费结算方式与时</w:t>
      </w:r>
      <w:r>
        <w:rPr>
          <w:color w:val="231F20"/>
          <w:u w:val="single" w:color="231F20"/>
        </w:rPr>
        <w:t>间}：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第十四条 </w:t>
      </w:r>
      <w:r>
        <w:rPr>
          <w:color w:val="231F20"/>
        </w:rPr>
        <w:t>存货人未向保管人支付仓储费的，保管人（{是否}）可以留置仓储物。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第十五条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：{违约责任内容}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58501pt" to="524.409096pt,41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5" w:firstLine="440"/>
      </w:pPr>
      <w:r>
        <w:rPr>
          <w:rFonts w:ascii="方正黑体_GBK" w:eastAsia="方正黑体_GBK" w:hint="eastAsia"/>
          <w:color w:val="231F20"/>
        </w:rPr>
        <w:t xml:space="preserve">第十六条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本合同在履行过程中发生的争议，由双方当事人协商解{解决</w:t>
      </w:r>
      <w:r>
        <w:rPr>
          <w:color w:val="231F20"/>
          <w:spacing w:val="-55"/>
        </w:rPr>
        <w:t>方</w:t>
      </w:r>
      <w:r>
        <w:rPr>
          <w:color w:val="231F20"/>
        </w:rPr>
        <w:t>式}；也可由当地工商行政管理部</w:t>
      </w:r>
      <w:r>
        <w:rPr>
          <w:color w:val="231F20"/>
          <w:spacing w:val="-55"/>
        </w:rPr>
        <w:t>门</w:t>
      </w:r>
      <w:r>
        <w:rPr>
          <w:color w:val="231F20"/>
        </w:rPr>
        <w:t>调解：协商或调解不成的，按</w:t>
      </w:r>
      <w:r>
        <w:rPr>
          <w:color w:val="231F20"/>
          <w:u w:val="single" w:color="231F20"/>
        </w:rPr>
        <w:t>下列</w:t>
      </w:r>
      <w:r>
        <w:rPr>
          <w:color w:val="231F20"/>
        </w:rPr>
        <w:t>第{选择项}种方式解决：</w:t>
      </w:r>
    </w:p>
    <w:p>
      <w:pPr>
        <w:pStyle w:val="BodyText"/>
        <w:tabs>
          <w:tab w:pos="2376" w:val="left" w:leader="none"/>
        </w:tabs>
        <w:spacing w:before="20"/>
        <w:ind w:left="557"/>
      </w:pPr>
      <w:r>
        <w:rPr>
          <w:color w:val="231F20"/>
        </w:rPr>
        <w:t>（一）</w:t>
      </w:r>
      <w:r>
        <w:rPr>
          <w:color w:val="231F20"/>
          <w:spacing w:val="-56"/>
        </w:rPr>
        <w:t>提</w:t>
      </w:r>
      <w:r>
        <w:rPr>
          <w:color w:val="231F20"/>
        </w:rPr>
        <w:t xml:space="preserve">交 </w:t>
      </w:r>
      <w:r>
        <w:rPr>
          <w:color w:val="231F20"/>
          <w:u w:val="single" w:color="231F20"/>
        </w:rPr>
        <w:t>{仲</w:t>
      </w:r>
      <w:r>
        <w:rPr>
          <w:color w:val="231F20"/>
        </w:rPr>
        <w:t>裁委员会} 仲裁；</w:t>
      </w:r>
    </w:p>
    <w:p>
      <w:pPr>
        <w:pStyle w:val="BodyText"/>
        <w:spacing w:before="88"/>
        <w:ind w:left="557"/>
      </w:pPr>
      <w:r>
        <w:rPr>
          <w:color w:val="231F20"/>
        </w:rPr>
        <w:t>( 二</w:t>
      </w:r>
      <w:r>
        <w:rPr>
          <w:color w:val="231F20"/>
          <w:spacing w:val="-56"/>
        </w:rPr>
        <w:t>）</w:t>
      </w:r>
      <w:r>
        <w:rPr>
          <w:color w:val="231F20"/>
        </w:rPr>
        <w:t>依法向{人民法院}起诉。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第十七条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62.669361pt" to="524.409096pt,62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0"/>
        <w:gridCol w:w="3020"/>
      </w:tblGrid>
      <w:tr>
        <w:trPr>
          <w:trHeight w:val="2600" w:hRule="atLeast"/>
        </w:trPr>
        <w:tc>
          <w:tcPr>
            <w:tcW w:w="3020" w:type="dxa"/>
          </w:tcPr>
          <w:p>
            <w:pPr>
              <w:pStyle w:val="TableParagraph"/>
              <w:spacing w:line="284" w:lineRule="exact" w:before="103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存货人</w:t>
            </w:r>
          </w:p>
          <w:p>
            <w:pPr>
              <w:pStyle w:val="TableParagraph"/>
              <w:spacing w:line="230" w:lineRule="auto"/>
              <w:ind w:left="84" w:right="1646"/>
              <w:rPr>
                <w:sz w:val="18"/>
              </w:rPr>
            </w:pPr>
            <w:r>
              <w:rPr>
                <w:color w:val="231F20"/>
                <w:sz w:val="18"/>
              </w:rPr>
              <w:t>存货人（章）： 住所：</w:t>
            </w:r>
          </w:p>
          <w:p>
            <w:pPr>
              <w:pStyle w:val="TableParagraph"/>
              <w:spacing w:line="230" w:lineRule="auto" w:before="6"/>
              <w:ind w:left="84" w:right="184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30" w:lineRule="auto"/>
              <w:ind w:left="84"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line="284" w:lineRule="exact" w:before="103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保管人</w:t>
            </w:r>
          </w:p>
          <w:p>
            <w:pPr>
              <w:pStyle w:val="TableParagraph"/>
              <w:spacing w:line="230" w:lineRule="auto"/>
              <w:ind w:left="84" w:right="1646"/>
              <w:rPr>
                <w:sz w:val="18"/>
              </w:rPr>
            </w:pPr>
            <w:r>
              <w:rPr>
                <w:color w:val="231F20"/>
                <w:sz w:val="18"/>
              </w:rPr>
              <w:t>保管人（章）： 住所：</w:t>
            </w:r>
          </w:p>
          <w:p>
            <w:pPr>
              <w:pStyle w:val="TableParagraph"/>
              <w:spacing w:line="230" w:lineRule="auto" w:before="6"/>
              <w:ind w:left="84" w:right="184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30" w:lineRule="auto"/>
              <w:ind w:left="84"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before="103"/>
              <w:ind w:left="708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spacing w:line="230" w:lineRule="auto"/>
              <w:ind w:left="83" w:right="110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right="7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tabs>
          <w:tab w:pos="468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2021-12-01T23:28:53Z</dcterms:created>
  <dcterms:modified xsi:type="dcterms:W3CDTF">2021-12-01T23:28:53Z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