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GF—2000—0103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436" w:right="35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农药买卖合同</w:t>
      </w:r>
    </w:p>
    <w:p>
      <w:pPr>
        <w:spacing w:before="152"/>
        <w:ind w:left="3436" w:right="35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3050" w:val="left" w:leader="none"/>
        </w:tabs>
        <w:ind w:right="195"/>
        <w:jc w:val="right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2482" w:val="left" w:leader="none"/>
          <w:tab w:pos="6137" w:val="left" w:leader="none"/>
          <w:tab w:pos="9188" w:val="left" w:leader="none"/>
        </w:tabs>
        <w:spacing w:before="89"/>
        <w:ind w:left="557"/>
        <w:jc w:val="both"/>
      </w:pPr>
      <w:r>
        <w:rPr>
          <w:color w:val="231F20"/>
        </w:rPr>
        <w:t>出卖人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2482" w:val="left" w:leader="none"/>
          <w:tab w:pos="6137" w:val="left" w:leader="none"/>
          <w:tab w:pos="7979" w:val="left" w:leader="none"/>
        </w:tabs>
        <w:spacing w:before="89"/>
        <w:ind w:left="557"/>
        <w:jc w:val="both"/>
      </w:pPr>
      <w:r>
        <w:rPr>
          <w:color w:val="231F20"/>
        </w:rPr>
        <w:t>买受人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买受人姓名</w:t>
      </w:r>
      <w:r>
        <w:rPr>
          <w:color w:val="231F20"/>
          <w:u w:val="single" w:color="231F20"/>
        </w:rPr>
        <w:t>}</w:t>
        <w:tab/>
      </w:r>
      <w:r>
        <w:rPr>
          <w:color w:val="231F20"/>
        </w:rPr>
        <w:t>签</w:t>
      </w:r>
      <w:r>
        <w:rPr>
          <w:color w:val="231F20"/>
          <w:u w:val="single" w:color="231F20"/>
        </w:rPr>
        <w:t>订时间：{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>份}年{</w:t>
      </w:r>
      <w:r>
        <w:rPr>
          <w:color w:val="231F20"/>
          <w:spacing w:val="5"/>
          <w:u w:val="single" w:color="231F20"/>
        </w:rPr>
        <w:t>月</w:t>
      </w:r>
      <w:r>
        <w:rPr>
          <w:color w:val="231F20"/>
        </w:rPr>
        <w:t>份}月{日期}日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before="1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第一条   </w:t>
      </w:r>
      <w:r>
        <w:rPr>
          <w:color w:val="231F20"/>
        </w:rPr>
        <w:t>标的、数量、{价款}、交（提）货时间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</w:tblGrid>
      <w:tr>
        <w:trPr>
          <w:trHeight w:val="320" w:hRule="atLeast"/>
        </w:trPr>
        <w:tc>
          <w:tcPr>
            <w:tcW w:w="536" w:type="dxa"/>
            <w:vMerge w:val="restart"/>
          </w:tcPr>
          <w:p>
            <w:pPr>
              <w:pStyle w:val="TableParagraph"/>
              <w:spacing w:line="230" w:lineRule="auto" w:before="99"/>
              <w:ind w:left="87" w:right="59"/>
              <w:rPr>
                <w:sz w:val="18"/>
              </w:rPr>
            </w:pPr>
            <w:r>
              <w:rPr>
                <w:color w:val="231F20"/>
                <w:sz w:val="18"/>
              </w:rPr>
              <w:t>农药名称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color w:val="231F20"/>
                <w:sz w:val="18"/>
              </w:rPr>
              <w:t>商标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line="230" w:lineRule="auto" w:before="99"/>
              <w:ind w:left="88" w:right="58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line="230" w:lineRule="auto" w:before="99"/>
              <w:ind w:left="88" w:right="58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line="224" w:lineRule="exact"/>
              <w:ind w:left="89"/>
              <w:rPr>
                <w:sz w:val="18"/>
              </w:rPr>
            </w:pPr>
            <w:r>
              <w:rPr>
                <w:color w:val="231F20"/>
                <w:sz w:val="18"/>
              </w:rPr>
              <w:t>农药</w:t>
            </w:r>
          </w:p>
          <w:p>
            <w:pPr>
              <w:pStyle w:val="TableParagraph"/>
              <w:spacing w:line="260" w:lineRule="exact" w:before="6"/>
              <w:ind w:left="89" w:right="57"/>
              <w:rPr>
                <w:sz w:val="18"/>
              </w:rPr>
            </w:pPr>
            <w:r>
              <w:rPr>
                <w:color w:val="231F20"/>
                <w:sz w:val="18"/>
              </w:rPr>
              <w:t>登记证号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line="224" w:lineRule="exact"/>
              <w:ind w:left="89"/>
              <w:rPr>
                <w:sz w:val="18"/>
              </w:rPr>
            </w:pPr>
            <w:r>
              <w:rPr>
                <w:color w:val="231F20"/>
                <w:sz w:val="18"/>
              </w:rPr>
              <w:t>生产</w:t>
            </w:r>
          </w:p>
          <w:p>
            <w:pPr>
              <w:pStyle w:val="TableParagraph"/>
              <w:spacing w:line="260" w:lineRule="exact" w:before="6"/>
              <w:ind w:left="89" w:right="57"/>
              <w:rPr>
                <w:sz w:val="18"/>
              </w:rPr>
            </w:pPr>
            <w:r>
              <w:rPr>
                <w:color w:val="231F20"/>
                <w:sz w:val="18"/>
              </w:rPr>
              <w:t>许可证号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line="230" w:lineRule="auto" w:before="99"/>
              <w:ind w:left="89" w:right="57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536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3692" w:type="dxa"/>
            <w:gridSpan w:val="13"/>
          </w:tcPr>
          <w:p>
            <w:pPr>
              <w:pStyle w:val="TableParagraph"/>
              <w:spacing w:before="15"/>
              <w:ind w:left="950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交（提）货时间及数量</w:t>
            </w:r>
          </w:p>
        </w:tc>
      </w:tr>
      <w:tr>
        <w:trPr>
          <w:trHeight w:val="380" w:hRule="atLeast"/>
        </w:trPr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spacing w:before="44"/>
              <w:ind w:left="91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7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052" w:type="dxa"/>
            <w:gridSpan w:val="23"/>
          </w:tcPr>
          <w:p>
            <w:pPr>
              <w:pStyle w:val="TableParagraph"/>
              <w:spacing w:before="15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tabs>
          <w:tab w:pos="9188" w:val="left" w:leader="none"/>
        </w:tabs>
        <w:spacing w:line="571" w:lineRule="auto" w:before="132"/>
        <w:ind w:left="557" w:right="192"/>
        <w:jc w:val="both"/>
      </w:pPr>
      <w:r>
        <w:rPr/>
      </w:r>
      <w:r>
        <w:rPr/>
      </w: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第二条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质量标准</w:t>
      </w:r>
      <w:r>
        <w:rPr>
          <w:color w:val="231F20"/>
          <w:u w:val="single" w:color="231F20"/>
        </w:rPr>
        <w:t>：{质</w:t>
      </w:r>
      <w:r>
        <w:rPr>
          <w:rFonts w:ascii="方正黑体_GBK" w:eastAsia="方正黑体_GBK" w:hint="eastAsia"/>
          <w:color w:val="231F20"/>
        </w:rPr>
        <w:t xml:space="preserve">量标准}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br/>
        <w:t>第三条 出卖人对质量</w:t>
      </w:r>
      <w:r>
        <w:rPr>
          <w:color w:val="231F20"/>
          <w:u w:val="single" w:color="231F20"/>
        </w:rPr>
        <w:t>负责的</w:t>
      </w:r>
      <w:r>
        <w:rPr>
          <w:rFonts w:ascii="方正黑体_GBK" w:eastAsia="方正黑体_GBK" w:hint="eastAsia"/>
          <w:color w:val="231F20"/>
        </w:rPr>
        <w:t>期限：{质</w:t>
      </w:r>
      <w:r>
        <w:rPr>
          <w:rFonts w:ascii="方正黑体_GBK" w:eastAsia="方正黑体_GBK" w:hint="eastAsia"/>
          <w:color w:val="231F20"/>
          <w:spacing w:val="35"/>
        </w:rPr>
        <w:t>量</w:t>
      </w:r>
      <w:r>
        <w:rPr>
          <w:color w:val="231F20"/>
        </w:rPr>
        <w:t>负责期限</w:t>
      </w:r>
      <w:r>
        <w:rPr>
          <w:color w:val="231F20"/>
          <w:u w:val="single" w:color="231F20"/>
        </w:rPr>
        <w:t xml:space="preserve">}  </w:t>
      </w:r>
      <w:r>
        <w:rPr>
          <w:rFonts w:ascii="方正黑体_GBK" w:eastAsia="方正黑体_GBK" w:hint="eastAsia"/>
          <w:color w:val="231F20"/>
        </w:rPr>
        <w:br/>
        <w:t xml:space="preserve">第四条 </w:t>
      </w:r>
      <w:r>
        <w:rPr>
          <w:rFonts w:ascii="方正黑体_GBK" w:eastAsia="方正黑体_GBK" w:hint="eastAsia"/>
          <w:color w:val="231F20"/>
          <w:spacing w:val="35"/>
        </w:rPr>
        <w:t>包</w:t>
      </w:r>
      <w:r>
        <w:rPr>
          <w:color w:val="231F20"/>
        </w:rPr>
        <w:t xml:space="preserve">装标准：{包装标准} </w:t>
      </w:r>
      <w:r>
        <w:rPr>
          <w:color w:val="231F20"/>
          <w:u w:val="single" w:color="231F20"/>
        </w:rPr>
        <w:t xml:space="preserve"> </w:t>
        <w:br/>
        <w:t>第五条 合理损耗标准及计算方法：{合理损耗标准及计算方法}</w:t>
      </w:r>
    </w:p>
    <w:p>
      <w:pPr>
        <w:pStyle w:val="BodyText"/>
        <w:tabs>
          <w:tab w:pos="1217" w:val="left" w:leader="none"/>
          <w:tab w:pos="1442" w:val="left" w:leader="none"/>
          <w:tab w:pos="4092" w:val="left" w:leader="none"/>
        </w:tabs>
        <w:spacing w:line="290" w:lineRule="auto" w:before="37"/>
        <w:ind w:left="117" w:right="192" w:firstLine="440"/>
      </w:pPr>
      <w:r>
        <w:rPr>
          <w:rFonts w:ascii="方正黑体_GBK" w:eastAsia="方正黑体_GBK" w:hint="eastAsia"/>
          <w:color w:val="231F20"/>
        </w:rPr>
        <w:t>第六条</w:t>
        <w:tab/>
        <w:tab/>
      </w:r>
      <w:r>
        <w:rPr>
          <w:color w:val="231F20"/>
        </w:rPr>
        <w:t>农药的所有权自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</w:rPr>
        <w:t>{时间点}</w:t>
        <w:tab/>
        <w:t>时起转移，但买受人未履行支付价款义务的</w:t>
      </w:r>
      <w:r>
        <w:rPr>
          <w:color w:val="231F20"/>
          <w:u w:val="single" w:color="231F20"/>
        </w:rPr>
        <w:t>，农</w:t>
      </w:r>
      <w:r>
        <w:rPr>
          <w:color w:val="231F20"/>
        </w:rPr>
        <w:t xml:space="preserve">药属于 </w:t>
        <w:tab/>
        <w:t>{归属方}</w:t>
        <w:tab/>
        <w:t>所有。</w:t>
      </w:r>
    </w:p>
    <w:p>
      <w:pPr>
        <w:pStyle w:val="BodyText"/>
        <w:tabs>
          <w:tab w:pos="9188" w:val="left" w:leader="none"/>
        </w:tabs>
        <w:spacing w:before="9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第七条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交（提）货方式、地点</w:t>
      </w:r>
      <w:r>
        <w:rPr>
          <w:color w:val="231F20"/>
          <w:u w:val="single" w:color="231F20"/>
        </w:rPr>
        <w:t>：{交提货方式地点}</w:t>
      </w:r>
    </w:p>
    <w:p>
      <w:pPr>
        <w:pStyle w:val="BodyText"/>
        <w:spacing w:before="5"/>
        <w:rPr>
          <w:sz w:val="23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19.66139pt" to="524.409096pt,19.6613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3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第八条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运输方式和到达站（港）及费用负担</w:t>
      </w:r>
      <w:r>
        <w:rPr>
          <w:color w:val="231F20"/>
          <w:u w:val="single" w:color="231F20"/>
        </w:rPr>
        <w:t>：{运输方式} {到达站（港）} {费用负担}</w:t>
      </w:r>
    </w:p>
    <w:p>
      <w:pPr>
        <w:pStyle w:val="BodyText"/>
        <w:spacing w:before="6"/>
        <w:rPr>
          <w:sz w:val="23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19.675640pt" to="524.409096pt,19.675640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70.866096pt,39.67564pt" to="524.409096pt,39.6756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/>
        <w:pict>
          <v:line style="position:absolute;mso-position-horizontal-relative:page;mso-position-vertical-relative:paragraph;z-index:-14224" from="70.866096pt,101.43634pt" to="524.409096pt,101.43634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检验标准、方法、地点及期限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96898pt" to="524.409096pt,20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结算方式及期限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line="840" w:lineRule="atLeast"/>
        <w:ind w:left="557" w:right="110"/>
        <w:jc w:val="both"/>
      </w:pPr>
      <w:r>
        <w:rPr>
          <w:rFonts w:ascii="方正黑体_GBK" w:eastAsia="方正黑体_GBK" w:hint="eastAsia"/>
          <w:color w:val="231F20"/>
        </w:rPr>
        <w:t>第十一条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：{解</w:t>
      </w:r>
      <w:r>
        <w:rPr>
          <w:rFonts w:ascii="方正黑体_GBK" w:eastAsia="方正黑体_GBK" w:hint="eastAsia"/>
          <w:color w:val="231F20"/>
        </w:rPr>
        <w:t xml:space="preserve">除条件}  </w:t>
      </w:r>
      <w:r>
        <w:rPr>
          <w:rFonts w:ascii="方正黑体_GBK" w:eastAsia="方正黑体_GBK" w:hint="eastAsia"/>
          <w:color w:val="231F20"/>
          <w:spacing w:val="35"/>
        </w:rPr>
        <w:br/>
      </w:r>
      <w:r>
        <w:rPr>
          <w:color w:val="231F20"/>
        </w:rPr>
        <w:t>第十二条</w:t>
      </w:r>
      <w:r>
        <w:rPr>
          <w:color w:val="231F20"/>
          <w:u w:val="single" w:color="231F20"/>
        </w:rPr>
        <w:t xml:space="preserve">   </w:t>
      </w:r>
      <w:r>
        <w:rPr>
          <w:rFonts w:ascii="方正黑体_GBK" w:eastAsia="方正黑体_GBK" w:hint="eastAsia"/>
          <w:color w:val="231F20"/>
        </w:rPr>
        <w:t>违约责任：{</w:t>
      </w:r>
      <w:r>
        <w:rPr>
          <w:rFonts w:ascii="方正黑体_GBK" w:eastAsia="方正黑体_GBK" w:hint="eastAsia"/>
          <w:color w:val="231F20"/>
          <w:spacing w:val="36"/>
        </w:rPr>
        <w:t>违</w:t>
      </w:r>
      <w:r>
        <w:rPr>
          <w:color w:val="231F20"/>
        </w:rPr>
        <w:t xml:space="preserve">约责任}  </w:t>
        <w:br/>
        <w:t xml:space="preserve">第十三条  </w:t>
      </w:r>
      <w:r>
        <w:rPr>
          <w:color w:val="231F20"/>
          <w:spacing w:val="-28"/>
        </w:rPr>
        <w:t xml:space="preserve"> 担</w:t>
      </w:r>
      <w:r>
        <w:rPr>
          <w:color w:val="231F20"/>
        </w:rPr>
        <w:t xml:space="preserve">保方式（也可另立担保合同）：{担保方式}  </w:t>
        <w:br/>
        <w:t>第十四条     合同争议的解决方式：本合同在履行过程中发生的争议，由双方当事人协商解决{</w:t>
      </w:r>
      <w:r>
        <w:rPr>
          <w:rFonts w:ascii="方正黑体_GBK" w:eastAsia="方正黑体_GBK" w:hint="eastAsia"/>
          <w:color w:val="231F20"/>
        </w:rPr>
        <w:t>争议解决方式}</w:t>
      </w:r>
      <w:r>
        <w:rPr>
          <w:rFonts w:ascii="方正黑体_GBK" w:eastAsia="方正黑体_GBK" w:hint="eastAsia"/>
          <w:color w:val="231F20"/>
          <w:spacing w:val="17"/>
        </w:rPr>
      </w:r>
      <w:r>
        <w:rPr>
          <w:color w:val="231F20"/>
        </w:rPr>
      </w:r>
      <w:r>
        <w:rPr>
          <w:color w:val="231F20"/>
          <w:spacing w:val="-52"/>
        </w:rPr>
      </w:r>
      <w:r>
        <w:rPr>
          <w:color w:val="231F20"/>
        </w:rPr>
      </w:r>
    </w:p>
    <w:p>
      <w:pPr>
        <w:pStyle w:val="BodyText"/>
        <w:tabs>
          <w:tab w:pos="7487" w:val="left" w:leader="none"/>
        </w:tabs>
        <w:spacing w:before="89"/>
        <w:ind w:left="117"/>
      </w:pPr>
      <w:r>
        <w:rPr/>
      </w:r>
      <w:r>
        <w:rPr/>
      </w:r>
      <w:r>
        <w:rPr/>
      </w:r>
      <w:r>
        <w:rPr>
          <w:color w:val="231F20"/>
        </w:rPr>
        <w:t>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{解</w:t>
      </w:r>
      <w:r>
        <w:rPr>
          <w:color w:val="231F20"/>
        </w:rPr>
        <w:t>决方式}种方式解决：</w:t>
      </w:r>
    </w:p>
    <w:p>
      <w:pPr>
        <w:pStyle w:val="BodyText"/>
        <w:tabs>
          <w:tab w:pos="3087" w:val="left" w:leader="none"/>
        </w:tabs>
        <w:spacing w:before="89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9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4737" w:val="left" w:leader="none"/>
        </w:tabs>
        <w:spacing w:before="83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第十五条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</w:rPr>
        <w:t>{生效日期} 起生效。</w:t>
      </w:r>
    </w:p>
    <w:p>
      <w:pPr>
        <w:pStyle w:val="BodyText"/>
        <w:tabs>
          <w:tab w:pos="9188" w:val="left" w:leader="none"/>
        </w:tabs>
        <w:spacing w:before="83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第十六条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20.679239pt" to="524.409096pt,20.67923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64;mso-wrap-distance-left:0;mso-wrap-distance-right:0" from="70.866096pt,41.679241pt" to="524.409096pt,41.67924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88;mso-wrap-distance-left:0;mso-wrap-distance-right:0" from="70.866096pt,62.679241pt" to="524.409096pt,62.67924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7"/>
        <w:gridCol w:w="3176"/>
        <w:gridCol w:w="2710"/>
      </w:tblGrid>
      <w:tr>
        <w:trPr>
          <w:trHeight w:val="3140" w:hRule="atLeast"/>
        </w:trPr>
        <w:tc>
          <w:tcPr>
            <w:tcW w:w="3177" w:type="dxa"/>
          </w:tcPr>
          <w:p>
            <w:pPr>
              <w:pStyle w:val="TableParagraph"/>
              <w:spacing w:before="113"/>
              <w:ind w:left="1287"/>
              <w:rPr>
                <w:sz w:val="20"/>
              </w:rPr>
            </w:pPr>
            <w:r>
              <w:rPr>
                <w:color w:val="231F20"/>
                <w:sz w:val="20"/>
              </w:rPr>
              <w:t>出卖人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4" w:right="1803"/>
              <w:rPr>
                <w:sz w:val="18"/>
              </w:rPr>
            </w:pPr>
            <w:r>
              <w:rPr>
                <w:color w:val="231F20"/>
                <w:sz w:val="18"/>
              </w:rPr>
              <w:t>出卖人（章）： 住所：</w:t>
            </w:r>
          </w:p>
          <w:p>
            <w:pPr>
              <w:pStyle w:val="TableParagraph"/>
              <w:spacing w:line="230" w:lineRule="auto"/>
              <w:ind w:left="84" w:right="903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法定代表人（章或签字）： 委托代理人：</w:t>
            </w:r>
          </w:p>
          <w:p>
            <w:pPr>
              <w:pStyle w:val="TableParagraph"/>
              <w:spacing w:line="230" w:lineRule="auto"/>
              <w:ind w:left="84" w:right="2523"/>
              <w:rPr>
                <w:sz w:val="18"/>
              </w:rPr>
            </w:pPr>
            <w:r>
              <w:rPr>
                <w:color w:val="231F20"/>
                <w:sz w:val="18"/>
              </w:rPr>
              <w:t>电话： 传真：</w:t>
            </w:r>
          </w:p>
          <w:p>
            <w:pPr>
              <w:pStyle w:val="TableParagraph"/>
              <w:spacing w:line="230" w:lineRule="auto"/>
              <w:ind w:left="84" w:right="2163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176" w:type="dxa"/>
          </w:tcPr>
          <w:p>
            <w:pPr>
              <w:pStyle w:val="TableParagraph"/>
              <w:spacing w:before="113"/>
              <w:ind w:left="1286"/>
              <w:rPr>
                <w:sz w:val="20"/>
              </w:rPr>
            </w:pPr>
            <w:r>
              <w:rPr>
                <w:color w:val="231F20"/>
                <w:sz w:val="20"/>
              </w:rPr>
              <w:t>买受人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3" w:right="1803"/>
              <w:rPr>
                <w:sz w:val="18"/>
              </w:rPr>
            </w:pPr>
            <w:r>
              <w:rPr>
                <w:color w:val="231F20"/>
                <w:sz w:val="18"/>
              </w:rPr>
              <w:t>买受人（章）： 住所：</w:t>
            </w:r>
          </w:p>
          <w:p>
            <w:pPr>
              <w:pStyle w:val="TableParagraph"/>
              <w:spacing w:line="230" w:lineRule="auto"/>
              <w:ind w:left="83" w:right="903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法定代表人（章或签字）： 委托代理人：</w:t>
            </w:r>
          </w:p>
          <w:p>
            <w:pPr>
              <w:pStyle w:val="TableParagraph"/>
              <w:spacing w:line="230" w:lineRule="auto"/>
              <w:ind w:left="83" w:right="2523"/>
              <w:rPr>
                <w:sz w:val="18"/>
              </w:rPr>
            </w:pPr>
            <w:r>
              <w:rPr>
                <w:color w:val="231F20"/>
                <w:sz w:val="18"/>
              </w:rPr>
              <w:t>电话： 传真：</w:t>
            </w:r>
          </w:p>
          <w:p>
            <w:pPr>
              <w:pStyle w:val="TableParagraph"/>
              <w:spacing w:line="230" w:lineRule="auto"/>
              <w:ind w:left="83" w:right="2163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710" w:type="dxa"/>
          </w:tcPr>
          <w:p>
            <w:pPr>
              <w:pStyle w:val="TableParagraph"/>
              <w:spacing w:before="113"/>
              <w:ind w:left="553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3" w:right="797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line="260" w:lineRule="exact"/>
              <w:ind w:left="1723"/>
              <w:rPr>
                <w:sz w:val="18"/>
              </w:rPr>
            </w:pPr>
            <w:r>
              <w:rPr>
                <w:color w:val="231F20"/>
                <w:sz w:val="18"/>
              </w:rPr>
              <w:t>年    月    日</w:t>
            </w:r>
          </w:p>
        </w:tc>
      </w:tr>
    </w:tbl>
    <w:p>
      <w:pPr>
        <w:spacing w:line="232" w:lineRule="auto" w:before="66"/>
        <w:ind w:left="117" w:right="188" w:firstLine="440"/>
        <w:jc w:val="lef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pacing w:val="-7"/>
          <w:sz w:val="16"/>
        </w:rPr>
        <w:t>[ 提示：生产、经营农药必须取得{农药登记</w:t>
      </w:r>
      <w:r>
        <w:rPr>
          <w:rFonts w:ascii="方正楷体_GBK" w:eastAsia="方正楷体_GBK" w:hint="eastAsia"/>
          <w:color w:val="231F20"/>
          <w:sz w:val="16"/>
        </w:rPr>
        <w:t>证}（或者{农药临时</w:t>
      </w:r>
      <w:r>
        <w:rPr>
          <w:rFonts w:ascii="方正楷体_GBK" w:eastAsia="方正楷体_GBK" w:hint="eastAsia"/>
          <w:color w:val="231F20"/>
          <w:spacing w:val="-80"/>
          <w:sz w:val="16"/>
        </w:rPr>
        <w:t>登</w:t>
      </w:r>
      <w:r>
        <w:rPr>
          <w:rFonts w:ascii="方正楷体_GBK" w:eastAsia="方正楷体_GBK" w:hint="eastAsia"/>
          <w:color w:val="231F20"/>
          <w:sz w:val="16"/>
        </w:rPr>
        <w:t>记证}）、{农药生产许可证}（或者{农</w:t>
      </w:r>
      <w:r>
        <w:rPr>
          <w:rFonts w:ascii="方正楷体_GBK" w:eastAsia="方正楷体_GBK" w:hint="eastAsia"/>
          <w:color w:val="231F20"/>
          <w:spacing w:val="-40"/>
          <w:sz w:val="16"/>
        </w:rPr>
        <w:t>药生</w:t>
      </w:r>
      <w:r>
        <w:rPr>
          <w:rFonts w:ascii="方正楷体_GBK" w:eastAsia="方正楷体_GBK" w:hint="eastAsia"/>
          <w:color w:val="231F20"/>
          <w:sz w:val="16"/>
        </w:rPr>
        <w:t>产批准</w:t>
      </w:r>
      <w:r>
        <w:rPr>
          <w:rFonts w:ascii="方正楷体_GBK" w:eastAsia="方正楷体_GBK" w:hint="eastAsia"/>
          <w:color w:val="231F20"/>
          <w:spacing w:val="-1"/>
          <w:sz w:val="16"/>
        </w:rPr>
        <w:t>文件}）；经营的农药属于化学危险物品的，还应当办理{经营许可证} ]</w:t>
      </w:r>
    </w:p>
    <w:p>
      <w:pPr>
        <w:pStyle w:val="BodyText"/>
        <w:tabs>
          <w:tab w:pos="4516" w:val="left" w:leader="none"/>
        </w:tabs>
        <w:spacing w:before="138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2021-12-01T23:29:44Z</dcterms:created>
  <dcterms:modified xsi:type="dcterms:W3CDTF">2021-12-01T23:29:44Z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