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GF—2014—2411</w:t>
      </w:r>
    </w:p>
    <w:p>
      <w:pPr>
        <w:pStyle w:val="BodyText"/>
        <w:spacing w:before="0"/>
        <w:rPr>
          <w:rFonts w:ascii="Times New Roman"/>
          <w:b/>
          <w:sz w:val="30"/>
        </w:rPr>
      </w:pPr>
    </w:p>
    <w:p>
      <w:pPr>
        <w:pStyle w:val="BodyText"/>
        <w:spacing w:before="0"/>
        <w:rPr>
          <w:rFonts w:ascii="Times New Roman"/>
          <w:b/>
          <w:sz w:val="30"/>
        </w:rPr>
      </w:pPr>
    </w:p>
    <w:p>
      <w:pPr>
        <w:pStyle w:val="BodyText"/>
        <w:spacing w:before="0"/>
        <w:rPr>
          <w:rFonts w:ascii="Times New Roman"/>
          <w:b/>
          <w:sz w:val="30"/>
        </w:rPr>
      </w:pPr>
    </w:p>
    <w:p>
      <w:pPr>
        <w:pStyle w:val="BodyText"/>
        <w:spacing w:before="0"/>
        <w:rPr>
          <w:rFonts w:ascii="Times New Roman"/>
          <w:b/>
          <w:sz w:val="30"/>
        </w:rPr>
      </w:pPr>
    </w:p>
    <w:p>
      <w:pPr>
        <w:pStyle w:val="BodyText"/>
        <w:spacing w:before="2"/>
        <w:rPr>
          <w:rFonts w:ascii="Times New Roman"/>
          <w:b/>
          <w:sz w:val="40"/>
        </w:rPr>
      </w:pPr>
    </w:p>
    <w:p>
      <w:pPr>
        <w:spacing w:before="0"/>
        <w:ind w:left="2052" w:right="0" w:firstLine="0"/>
        <w:jc w:val="left"/>
        <w:rPr>
          <w:rFonts w:ascii="方正小标宋_GBK" w:eastAsia="方正小标宋_GBK" w:hint="eastAsia"/>
          <w:sz w:val="40"/>
        </w:rPr>
      </w:pPr>
      <w:r>
        <w:rPr>
          <w:rFonts w:ascii="方正小标宋_GBK" w:eastAsia="方正小标宋_GBK" w:hint="eastAsia"/>
          <w:color w:val="231F20"/>
          <w:sz w:val="40"/>
        </w:rPr>
        <w:t>境内旅游组团社与地接社合同</w:t>
      </w:r>
    </w:p>
    <w:p>
      <w:pPr>
        <w:pStyle w:val="Heading2"/>
        <w:spacing w:before="152"/>
        <w:ind w:left="3812"/>
      </w:pPr>
      <w:r>
        <w:rPr>
          <w:color w:val="231F20"/>
        </w:rPr>
        <w:t>（示范文本）</w:t>
      </w: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pStyle w:val="BodyText"/>
        <w:spacing w:before="0"/>
        <w:rPr>
          <w:rFonts w:ascii="方正楷体_GBK"/>
          <w:sz w:val="30"/>
        </w:rPr>
      </w:pPr>
    </w:p>
    <w:p>
      <w:pPr>
        <w:tabs>
          <w:tab w:pos="3594" w:val="left" w:leader="none"/>
          <w:tab w:pos="4232" w:val="left" w:leader="none"/>
          <w:tab w:pos="4871" w:val="left" w:leader="none"/>
          <w:tab w:pos="5509" w:val="left" w:leader="none"/>
        </w:tabs>
        <w:spacing w:before="262"/>
        <w:ind w:left="2995" w:right="0" w:firstLine="0"/>
        <w:jc w:val="left"/>
        <w:rPr>
          <w:rFonts w:ascii="方正楷体_GBK" w:eastAsia="方正楷体_GBK" w:hint="eastAsia"/>
          <w:sz w:val="28"/>
        </w:rPr>
      </w:pPr>
      <w:r>
        <w:rPr>
          <w:rFonts w:ascii="方正楷体_GBK" w:eastAsia="方正楷体_GBK" w:hint="eastAsia"/>
          <w:color w:val="231F20"/>
          <w:sz w:val="28"/>
        </w:rPr>
        <w:t>国</w:t>
        <w:tab/>
        <w:t>家</w:t>
        <w:tab/>
        <w:t>旅</w:t>
        <w:tab/>
        <w:t>游</w:t>
        <w:tab/>
        <w:t>局</w:t>
      </w:r>
    </w:p>
    <w:p>
      <w:pPr>
        <w:tabs>
          <w:tab w:pos="6075" w:val="left" w:leader="none"/>
        </w:tabs>
        <w:spacing w:line="266" w:lineRule="auto" w:before="42"/>
        <w:ind w:left="3835" w:right="2668" w:hanging="840"/>
        <w:jc w:val="left"/>
        <w:rPr>
          <w:rFonts w:ascii="方正楷体_GBK" w:eastAsia="方正楷体_GBK" w:hint="eastAsia"/>
          <w:sz w:val="28"/>
        </w:rPr>
      </w:pPr>
      <w:r>
        <w:rPr>
          <w:rFonts w:ascii="方正楷体_GBK" w:eastAsia="方正楷体_GBK" w:hint="eastAsia"/>
          <w:color w:val="231F20"/>
          <w:sz w:val="28"/>
        </w:rPr>
        <w:t>国家工商行政管理总局</w:t>
        <w:tab/>
        <w:t>制定二〇一四年四月</w:t>
      </w:r>
    </w:p>
    <w:p>
      <w:pPr>
        <w:spacing w:after="0" w:line="266" w:lineRule="auto"/>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rPr>
          <w:rFonts w:ascii="方正楷体_GBK"/>
          <w:sz w:val="20"/>
        </w:rPr>
      </w:pPr>
    </w:p>
    <w:p>
      <w:pPr>
        <w:pStyle w:val="BodyText"/>
        <w:spacing w:before="0"/>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i/>
          <w:sz w:val="28"/>
        </w:rPr>
      </w:pPr>
      <w:r>
        <w:rPr>
          <w:rFonts w:ascii="方正黑体_GBK" w:eastAsia="方正黑体_GBK" w:hint="eastAsia"/>
          <w:i/>
          <w:color w:val="231F20"/>
          <w:sz w:val="28"/>
        </w:rPr>
        <w:t>使用说明</w:t>
      </w:r>
    </w:p>
    <w:p>
      <w:pPr>
        <w:pStyle w:val="BodyText"/>
        <w:spacing w:before="13"/>
        <w:rPr>
          <w:rFonts w:ascii="方正黑体_GBK"/>
          <w:i/>
          <w:sz w:val="26"/>
        </w:rPr>
      </w:pPr>
    </w:p>
    <w:p>
      <w:pPr>
        <w:pStyle w:val="ListParagraph"/>
        <w:numPr>
          <w:ilvl w:val="0"/>
          <w:numId w:val="1"/>
        </w:numPr>
        <w:tabs>
          <w:tab w:pos="794" w:val="left" w:leader="none"/>
        </w:tabs>
        <w:spacing w:line="319" w:lineRule="auto" w:before="1" w:after="0"/>
        <w:ind w:left="117" w:right="212" w:firstLine="440"/>
        <w:jc w:val="both"/>
        <w:rPr>
          <w:sz w:val="22"/>
        </w:rPr>
      </w:pPr>
      <w:r>
        <w:rPr>
          <w:color w:val="231F20"/>
          <w:sz w:val="22"/>
        </w:rPr>
        <w:t>本合同为示范文本，供中华人民共和国境内（不含港、澳、台地区）组团社和地接社就国内旅游接待业务签订合同时使用。</w:t>
      </w:r>
    </w:p>
    <w:p>
      <w:pPr>
        <w:pStyle w:val="ListParagraph"/>
        <w:numPr>
          <w:ilvl w:val="0"/>
          <w:numId w:val="1"/>
        </w:numPr>
        <w:tabs>
          <w:tab w:pos="776" w:val="left" w:leader="none"/>
        </w:tabs>
        <w:spacing w:line="319" w:lineRule="auto" w:before="26" w:after="0"/>
        <w:ind w:left="117" w:right="212" w:firstLine="440"/>
        <w:jc w:val="both"/>
        <w:rPr>
          <w:sz w:val="22"/>
        </w:rPr>
      </w:pPr>
      <w:r>
        <w:rPr>
          <w:color w:val="231F20"/>
          <w:sz w:val="22"/>
        </w:rPr>
        <w:t>本合同示范文本在合同有效期内可反复使用，操作单团接待业务时，与合同双方达成的具体协议（</w:t>
      </w:r>
      <w:r>
        <w:rPr>
          <w:color w:val="231F20"/>
          <w:spacing w:val="-6"/>
          <w:sz w:val="22"/>
        </w:rPr>
        <w:t>主要指《接待计划书》</w:t>
      </w:r>
      <w:r>
        <w:rPr>
          <w:color w:val="231F20"/>
          <w:sz w:val="22"/>
        </w:rPr>
        <w:t>）共同使用。</w:t>
      </w:r>
    </w:p>
    <w:p>
      <w:pPr>
        <w:pStyle w:val="ListParagraph"/>
        <w:numPr>
          <w:ilvl w:val="0"/>
          <w:numId w:val="1"/>
        </w:numPr>
        <w:tabs>
          <w:tab w:pos="797" w:val="left" w:leader="none"/>
        </w:tabs>
        <w:spacing w:line="319" w:lineRule="auto" w:before="26" w:after="0"/>
        <w:ind w:left="117" w:right="210" w:firstLine="440"/>
        <w:jc w:val="both"/>
        <w:rPr>
          <w:sz w:val="22"/>
        </w:rPr>
      </w:pPr>
      <w:r>
        <w:rPr>
          <w:color w:val="231F20"/>
          <w:spacing w:val="-6"/>
          <w:sz w:val="22"/>
        </w:rPr>
        <w:t>本合同示范文本中“组团社”即“组团旅行社”，是指与旅游者订立包价旅游合同的旅</w:t>
      </w:r>
      <w:r>
        <w:rPr>
          <w:color w:val="231F20"/>
          <w:spacing w:val="-14"/>
          <w:sz w:val="22"/>
        </w:rPr>
        <w:t>行社；“地接社”即“地方接待旅行社”是指接受组团社委托，在旅游目的地接待旅游者的旅行社。</w:t>
      </w:r>
    </w:p>
    <w:p>
      <w:pPr>
        <w:pStyle w:val="ListParagraph"/>
        <w:numPr>
          <w:ilvl w:val="0"/>
          <w:numId w:val="1"/>
        </w:numPr>
        <w:tabs>
          <w:tab w:pos="777" w:val="left" w:leader="none"/>
        </w:tabs>
        <w:spacing w:line="319" w:lineRule="auto" w:before="26" w:after="0"/>
        <w:ind w:left="117" w:right="208" w:firstLine="440"/>
        <w:jc w:val="both"/>
        <w:rPr>
          <w:sz w:val="22"/>
        </w:rPr>
      </w:pPr>
      <w:r>
        <w:rPr>
          <w:color w:val="231F20"/>
          <w:spacing w:val="-8"/>
          <w:sz w:val="22"/>
        </w:rPr>
        <w:t>本合同示范文本中“履行辅助人”，是指与旅行社存在合同关系，协助其履行包价旅游</w:t>
      </w:r>
      <w:r>
        <w:rPr>
          <w:color w:val="231F20"/>
          <w:sz w:val="22"/>
        </w:rPr>
        <w:t>合同义务，实际提供相关服务的法人、自然人或者其他组织。</w:t>
      </w:r>
    </w:p>
    <w:p>
      <w:pPr>
        <w:pStyle w:val="ListParagraph"/>
        <w:numPr>
          <w:ilvl w:val="0"/>
          <w:numId w:val="1"/>
        </w:numPr>
        <w:tabs>
          <w:tab w:pos="777" w:val="left" w:leader="none"/>
        </w:tabs>
        <w:spacing w:line="319" w:lineRule="auto" w:before="26" w:after="0"/>
        <w:ind w:left="117" w:right="103" w:firstLine="440"/>
        <w:jc w:val="left"/>
        <w:rPr>
          <w:sz w:val="22"/>
        </w:rPr>
      </w:pPr>
      <w:r>
        <w:rPr>
          <w:color w:val="231F20"/>
          <w:sz w:val="22"/>
        </w:rPr>
        <w:t>本合同示范文本中有关条款留有空白处，供双方自行约定。对双方不予约定的空白处，{应当划“∕”以示没有特别约定}。</w:t>
      </w:r>
    </w:p>
    <w:p>
      <w:pPr>
        <w:pStyle w:val="ListParagraph"/>
        <w:numPr>
          <w:ilvl w:val="0"/>
          <w:numId w:val="1"/>
        </w:numPr>
        <w:tabs>
          <w:tab w:pos="776" w:val="left" w:leader="none"/>
        </w:tabs>
        <w:spacing w:line="319" w:lineRule="auto" w:before="26" w:after="0"/>
        <w:ind w:left="117" w:right="212" w:firstLine="440"/>
        <w:jc w:val="both"/>
        <w:rPr>
          <w:sz w:val="22"/>
        </w:rPr>
      </w:pPr>
      <w:r>
        <w:rPr>
          <w:color w:val="231F20"/>
          <w:sz w:val="22"/>
        </w:rPr>
        <w:t>签订合同后，双方均应认真保存合同有关资料、相关证明材料及履行合同过程中发生的有关票据资料，以备查用。</w:t>
      </w:r>
    </w:p>
    <w:p>
      <w:pPr>
        <w:pStyle w:val="ListParagraph"/>
        <w:numPr>
          <w:ilvl w:val="0"/>
          <w:numId w:val="1"/>
        </w:numPr>
        <w:tabs>
          <w:tab w:pos="776" w:val="left" w:leader="none"/>
        </w:tabs>
        <w:spacing w:line="240" w:lineRule="auto" w:before="26" w:after="0"/>
        <w:ind w:left="775" w:right="0" w:hanging="218"/>
        <w:jc w:val="left"/>
        <w:rPr>
          <w:sz w:val="22"/>
        </w:rPr>
      </w:pPr>
      <w:r>
        <w:rPr>
          <w:color w:val="231F20"/>
          <w:sz w:val="22"/>
        </w:rPr>
        <w:t>本合同示范文本由国家旅游局和国家工商行政管理总局共同制定、解释。</w:t>
      </w:r>
    </w:p>
    <w:p>
      <w:pPr>
        <w:spacing w:after="0" w:line="240" w:lineRule="auto"/>
        <w:jc w:val="left"/>
        <w:rPr>
          <w:sz w:val="22"/>
        </w:rPr>
        <w:sectPr>
          <w:pgSz w:w="11910" w:h="16840"/>
          <w:pgMar w:header="0" w:footer="832" w:top="1580" w:bottom="1020" w:left="1300" w:right="1200"/>
        </w:sectPr>
      </w:pPr>
    </w:p>
    <w:p>
      <w:pPr>
        <w:pStyle w:val="BodyText"/>
        <w:spacing w:before="0"/>
        <w:rPr>
          <w:sz w:val="20"/>
        </w:rPr>
      </w:pPr>
    </w:p>
    <w:p>
      <w:pPr>
        <w:pStyle w:val="BodyText"/>
        <w:spacing w:before="3"/>
        <w:rPr>
          <w:sz w:val="15"/>
        </w:rPr>
      </w:pPr>
    </w:p>
    <w:p>
      <w:pPr>
        <w:pStyle w:val="Heading1"/>
        <w:spacing w:line="481" w:lineRule="exact"/>
        <w:ind w:left="2572"/>
      </w:pPr>
      <w:r>
        <w:rPr>
          <w:color w:val="231F20"/>
        </w:rPr>
        <w:t>境内旅游组团社与地接社合同</w:t>
      </w:r>
    </w:p>
    <w:p>
      <w:pPr>
        <w:tabs>
          <w:tab w:pos="9188" w:val="left" w:leader="none"/>
        </w:tabs>
        <w:spacing w:before="214"/>
        <w:ind w:left="6689" w:right="0" w:firstLine="0"/>
        <w:jc w:val="left"/>
        <w:rPr>
          <w:rFonts w:ascii="方正黑体_GBK" w:eastAsia="方正黑体_GBK" w:hint="eastAsia"/>
          <w:i/>
          <w:sz w:val="22"/>
        </w:rPr>
      </w:pPr>
      <w:r>
        <w:rPr>
          <w:rFonts w:ascii="方正黑体_GBK" w:eastAsia="方正黑体_GBK" w:hint="eastAsia"/>
          <w:i/>
          <w:color w:val="231F20"/>
          <w:sz w:val="22"/>
        </w:rPr>
        <w:t>合同编号</w:t>
      </w:r>
      <w:r>
        <w:rPr>
          <w:rFonts w:ascii="方正黑体_GBK" w:eastAsia="方正黑体_GBK" w:hint="eastAsia"/>
          <w:i/>
          <w:color w:val="231F20"/>
          <w:sz w:val="22"/>
          <w:u w:val="single" w:color="231F20"/>
        </w:rPr>
        <w:t>：{合同编号}</w:t>
      </w:r>
    </w:p>
    <w:p>
      <w:pPr>
        <w:pStyle w:val="BodyText"/>
        <w:spacing w:before="0"/>
        <w:rPr>
          <w:rFonts w:ascii="方正黑体_GBK"/>
          <w:i/>
          <w:sz w:val="24"/>
        </w:rPr>
      </w:pPr>
    </w:p>
    <w:p>
      <w:pPr>
        <w:pStyle w:val="BodyText"/>
        <w:spacing w:before="208"/>
        <w:ind w:left="557"/>
      </w:pPr>
      <w:r>
        <w:rPr>
          <w:color w:val="231F20"/>
        </w:rPr>
        <w:t>组团社：{组团社名称}</w:t>
      </w:r>
    </w:p>
    <w:p>
      <w:pPr>
        <w:pStyle w:val="BodyText"/>
        <w:tabs>
          <w:tab w:pos="5097" w:val="left" w:leader="none"/>
        </w:tabs>
        <w:spacing w:line="319" w:lineRule="auto" w:before="108"/>
        <w:ind w:left="557" w:right="3646"/>
      </w:pPr>
      <w:r>
        <w:rPr>
          <w:color w:val="231F20"/>
        </w:rPr>
        <w:t>法定代表人（主要负责人</w:t>
      </w:r>
      <w:r>
        <w:rPr>
          <w:color w:val="231F20"/>
          <w:spacing w:val="-28"/>
        </w:rPr>
        <w:t>）：{</w:t>
      </w:r>
      <w:r>
        <w:rPr>
          <w:color w:val="231F20"/>
        </w:rPr>
        <w:t>姓名} 职务：{职务} 业务经营许可证号：{许可证号}</w:t>
      </w:r>
    </w:p>
    <w:p>
      <w:pPr>
        <w:pStyle w:val="BodyText"/>
        <w:spacing w:before="25"/>
        <w:ind w:left="557"/>
      </w:pPr>
      <w:r>
        <w:rPr>
          <w:color w:val="231F20"/>
        </w:rPr>
        <w:t>经营地址：{经营地址}</w:t>
      </w:r>
    </w:p>
    <w:p>
      <w:pPr>
        <w:pStyle w:val="BodyText"/>
        <w:tabs>
          <w:tab w:pos="5097" w:val="left" w:leader="none"/>
        </w:tabs>
        <w:ind w:left="557"/>
      </w:pPr>
      <w:r>
        <w:rPr>
          <w:color w:val="231F20"/>
        </w:rPr>
        <w:t>经办人：{经办人姓名} 职务：{职务}</w:t>
      </w:r>
    </w:p>
    <w:p>
      <w:pPr>
        <w:pStyle w:val="BodyText"/>
        <w:tabs>
          <w:tab w:pos="5097" w:val="left" w:leader="none"/>
        </w:tabs>
        <w:ind w:left="557"/>
      </w:pPr>
      <w:r>
        <w:rPr>
          <w:color w:val="231F20"/>
        </w:rPr>
        <w:t xml:space="preserve">联系电话：{联系电话}  </w:t>
        <w:br/>
        <w:t>传真：{传真}</w:t>
      </w:r>
    </w:p>
    <w:p>
      <w:pPr>
        <w:pStyle w:val="BodyText"/>
        <w:spacing w:line="319" w:lineRule="auto"/>
        <w:ind w:left="557" w:right="7733"/>
      </w:pPr>
      <w:r>
        <w:rPr>
          <w:color w:val="231F20"/>
        </w:rPr>
        <w:t>电子邮箱：{电子邮箱} 地接社：{地接社}</w:t>
      </w:r>
    </w:p>
    <w:p>
      <w:pPr>
        <w:pStyle w:val="BodyText"/>
        <w:tabs>
          <w:tab w:pos="5097" w:val="left" w:leader="none"/>
        </w:tabs>
        <w:spacing w:line="319" w:lineRule="auto" w:before="26"/>
        <w:ind w:left="557" w:right="3646"/>
      </w:pPr>
      <w:r>
        <w:rPr>
          <w:color w:val="231F20"/>
        </w:rPr>
        <w:t>法定代表人（主要负责人</w:t>
      </w:r>
      <w:r>
        <w:rPr>
          <w:color w:val="231F20"/>
          <w:spacing w:val="-28"/>
        </w:rPr>
        <w:t>）：{</w:t>
      </w:r>
      <w:r>
        <w:rPr>
          <w:color w:val="231F20"/>
        </w:rPr>
        <w:t>姓名} 职务：{职务} 业务经营许可证号：{许可证号}</w:t>
      </w:r>
    </w:p>
    <w:p>
      <w:pPr>
        <w:pStyle w:val="BodyText"/>
        <w:spacing w:before="26"/>
        <w:ind w:left="557"/>
      </w:pPr>
      <w:r>
        <w:rPr>
          <w:color w:val="231F20"/>
        </w:rPr>
        <w:t>经营地址：{经营地址}</w:t>
      </w:r>
    </w:p>
    <w:p>
      <w:pPr>
        <w:pStyle w:val="BodyText"/>
        <w:tabs>
          <w:tab w:pos="5097" w:val="left" w:leader="none"/>
        </w:tabs>
        <w:ind w:left="557"/>
      </w:pPr>
      <w:r>
        <w:rPr>
          <w:color w:val="231F20"/>
        </w:rPr>
        <w:t>经办人：{经办人姓名}</w:t>
        <w:tab/>
        <w:t>职务：{职务}</w:t>
      </w:r>
    </w:p>
    <w:p>
      <w:pPr>
        <w:pStyle w:val="BodyText"/>
        <w:tabs>
          <w:tab w:pos="5097" w:val="left" w:leader="none"/>
        </w:tabs>
        <w:ind w:left="557"/>
      </w:pPr>
      <w:r>
        <w:rPr>
          <w:color w:val="231F20"/>
        </w:rPr>
        <w:t xml:space="preserve">联系电话：{联系电话}  </w:t>
        <w:br/>
        <w:t>传真：{传真}</w:t>
      </w:r>
    </w:p>
    <w:p>
      <w:pPr>
        <w:pStyle w:val="BodyText"/>
        <w:ind w:left="557"/>
      </w:pPr>
      <w:r>
        <w:rPr>
          <w:color w:val="231F20"/>
        </w:rPr>
        <w:t>电子邮箱：{电子邮箱}</w:t>
      </w:r>
    </w:p>
    <w:p>
      <w:pPr>
        <w:pStyle w:val="BodyText"/>
        <w:spacing w:line="319" w:lineRule="auto"/>
        <w:ind w:left="117" w:right="105" w:firstLine="440"/>
      </w:pPr>
      <w:r>
        <w:rPr>
          <w:color w:val="231F20"/>
        </w:rPr>
        <w:t>{组团社}将其组织的旅游者交由{地接社}接待，{地接社}按照双方确认的标准和要求，为{组团社}组织的旅游者提供接待服务。{组团社}与{地接社}双方经平等协商，达成如下协议：</w:t>
      </w:r>
    </w:p>
    <w:p>
      <w:pPr>
        <w:pStyle w:val="BodyText"/>
        <w:spacing w:before="8"/>
        <w:rPr>
          <w:sz w:val="30"/>
        </w:rPr>
      </w:pPr>
    </w:p>
    <w:p>
      <w:pPr>
        <w:tabs>
          <w:tab w:pos="1437" w:val="left" w:leader="none"/>
        </w:tabs>
        <w:spacing w:before="1"/>
        <w:ind w:left="557" w:right="0" w:firstLine="0"/>
        <w:jc w:val="left"/>
        <w:rPr>
          <w:sz w:val="22"/>
        </w:rPr>
      </w:pPr>
      <w:r>
        <w:rPr>
          <w:rFonts w:ascii="方正黑体_GBK" w:eastAsia="方正黑体_GBK" w:hint="eastAsia"/>
          <w:i/>
          <w:color w:val="231F20"/>
          <w:sz w:val="22"/>
        </w:rPr>
        <w:t>第一条</w:t>
        <w:tab/>
      </w:r>
      <w:r>
        <w:rPr>
          <w:color w:val="231F20"/>
          <w:sz w:val="22"/>
        </w:rPr>
        <w:t>合同构成</w:t>
      </w:r>
    </w:p>
    <w:p>
      <w:pPr>
        <w:pStyle w:val="BodyText"/>
        <w:ind w:left="557"/>
      </w:pPr>
      <w:r>
        <w:rPr>
          <w:color w:val="231F20"/>
        </w:rPr>
        <w:t>下列内容作为本合同的有效组成部分，与本合同具有同等法律效力：</w:t>
      </w:r>
    </w:p>
    <w:p>
      <w:pPr>
        <w:pStyle w:val="BodyText"/>
        <w:ind w:left="557"/>
      </w:pPr>
      <w:r>
        <w:rPr>
          <w:color w:val="231F20"/>
        </w:rPr>
        <w:t>1.《接待计划书》；</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双方业务往来确认；</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双方就未尽事宜达成的补充协议；</w:t>
      </w:r>
    </w:p>
    <w:p>
      <w:pPr>
        <w:pStyle w:val="ListParagraph"/>
        <w:numPr>
          <w:ilvl w:val="0"/>
          <w:numId w:val="2"/>
        </w:numPr>
        <w:tabs>
          <w:tab w:pos="776" w:val="left" w:leader="none"/>
        </w:tabs>
        <w:spacing w:line="240" w:lineRule="auto" w:before="109" w:after="0"/>
        <w:ind w:left="775" w:right="0" w:hanging="218"/>
        <w:jc w:val="left"/>
        <w:rPr>
          <w:sz w:val="22"/>
        </w:rPr>
      </w:pPr>
      <w:r>
        <w:rPr>
          <w:color w:val="231F20"/>
          <w:sz w:val="22"/>
        </w:rPr>
        <w:t>财务确认及结算单据；</w:t>
      </w:r>
    </w:p>
    <w:p>
      <w:pPr>
        <w:pStyle w:val="ListParagraph"/>
        <w:numPr>
          <w:ilvl w:val="0"/>
          <w:numId w:val="2"/>
        </w:numPr>
        <w:tabs>
          <w:tab w:pos="776" w:val="left" w:leader="none"/>
          <w:tab w:pos="9078" w:val="left" w:leader="none"/>
        </w:tabs>
        <w:spacing w:line="240" w:lineRule="auto" w:before="109" w:after="0"/>
        <w:ind w:left="775" w:right="0" w:hanging="218"/>
        <w:jc w:val="left"/>
        <w:rPr>
          <w:sz w:val="22"/>
        </w:rPr>
      </w:pPr>
      <w:r>
        <w:rPr>
          <w:color w:val="231F20"/>
          <w:sz w:val="22"/>
        </w:rPr>
        <w:t>其他约定</w:t>
      </w:r>
      <w:r>
        <w:rPr>
          <w:color w:val="231F20"/>
          <w:sz w:val="22"/>
          <w:u w:val="single" w:color="231F20"/>
        </w:rPr>
        <w:t>：</w:t>
        <w:tab/>
      </w:r>
      <w:r>
        <w:rPr>
          <w:color w:val="231F20"/>
          <w:sz w:val="22"/>
        </w:rPr>
        <w:t>{其他约定内容}</w:t>
      </w:r>
    </w:p>
    <w:p>
      <w:pPr>
        <w:tabs>
          <w:tab w:pos="1437" w:val="left" w:leader="none"/>
        </w:tabs>
        <w:spacing w:before="103"/>
        <w:ind w:left="557" w:right="0" w:firstLine="0"/>
        <w:jc w:val="left"/>
        <w:rPr>
          <w:sz w:val="22"/>
        </w:rPr>
      </w:pPr>
      <w:r>
        <w:rPr>
          <w:rFonts w:ascii="方正黑体_GBK" w:eastAsia="方正黑体_GBK" w:hint="eastAsia"/>
          <w:i/>
          <w:color w:val="231F20"/>
          <w:sz w:val="22"/>
        </w:rPr>
        <w:t>第二条</w:t>
        <w:tab/>
      </w:r>
      <w:r>
        <w:rPr>
          <w:color w:val="231F20"/>
          <w:sz w:val="22"/>
        </w:rPr>
        <w:t>合同当事人</w:t>
      </w:r>
    </w:p>
    <w:p>
      <w:pPr>
        <w:pStyle w:val="BodyText"/>
        <w:ind w:left="557"/>
      </w:pPr>
      <w:r>
        <w:rPr>
          <w:color w:val="231F20"/>
        </w:rPr>
        <w:t>组团社和地接社是依照中华人民共和国法律、法规设立的旅行社或者分社，依法取得旅行</w:t>
      </w:r>
    </w:p>
    <w:p>
      <w:pPr>
        <w:spacing w:after="0"/>
        <w:sectPr>
          <w:pgSz w:w="11910" w:h="16840"/>
          <w:pgMar w:header="0" w:footer="832" w:top="1580" w:bottom="1020" w:left="1300" w:right="1200"/>
        </w:sectPr>
      </w:pPr>
    </w:p>
    <w:p>
      <w:pPr>
        <w:pStyle w:val="BodyText"/>
        <w:spacing w:before="24"/>
        <w:ind w:left="117"/>
      </w:pPr>
      <w:r>
        <w:rPr>
          <w:color w:val="231F20"/>
        </w:rPr>
        <w:t>社业务资质，且在合同有效期内双方资质有效存续。</w:t>
      </w:r>
    </w:p>
    <w:p>
      <w:pPr>
        <w:pStyle w:val="BodyText"/>
        <w:tabs>
          <w:tab w:pos="4182" w:val="left" w:leader="none"/>
        </w:tabs>
        <w:spacing w:line="319" w:lineRule="auto"/>
        <w:ind w:left="117" w:right="209" w:firstLine="440"/>
        <w:jc w:val="both"/>
      </w:pPr>
      <w:r>
        <w:rPr>
          <w:color w:val="231F20"/>
          <w:spacing w:val="2"/>
        </w:rPr>
        <w:t>双方均应于签订合同前向对方提供营业执</w:t>
      </w:r>
      <w:r>
        <w:rPr>
          <w:color w:val="231F20"/>
        </w:rPr>
        <w:t>照</w:t>
      </w:r>
      <w:r>
        <w:rPr>
          <w:color w:val="231F20"/>
          <w:spacing w:val="2"/>
        </w:rPr>
        <w:t>、业务经营许可</w:t>
      </w:r>
      <w:r>
        <w:rPr>
          <w:color w:val="231F20"/>
        </w:rPr>
        <w:t>证</w:t>
      </w:r>
      <w:r>
        <w:rPr>
          <w:color w:val="231F20"/>
          <w:spacing w:val="2"/>
        </w:rPr>
        <w:t>（分社备案登记证明</w:t>
      </w:r>
      <w:r>
        <w:rPr>
          <w:color w:val="231F20"/>
          <w:spacing w:val="-110"/>
        </w:rPr>
        <w:t>）</w:t>
      </w:r>
      <w:r>
        <w:rPr>
          <w:color w:val="231F20"/>
          <w:spacing w:val="2"/>
        </w:rPr>
        <w:t>、旅</w:t>
      </w:r>
      <w:r>
        <w:rPr>
          <w:color w:val="231F20"/>
        </w:rPr>
        <w:t>行社责任保险单、安全管理制度、突发事件处理预案等文书复印件并加盖印章。如上述信息发生变更，变更一方应于变更之日起</w:t>
      </w:r>
      <w:r>
        <w:rPr>
          <w:color w:val="231F20"/>
          <w:u w:val="single" w:color="231F20"/>
        </w:rPr>
        <w:t xml:space="preserve"> {</w:t>
      </w:r>
      <w:r>
        <w:rPr>
          <w:color w:val="231F20"/>
        </w:rPr>
        <w:t>通知时限} 日内书面通知对方并提供更新后的材料。</w:t>
      </w:r>
    </w:p>
    <w:p>
      <w:pPr>
        <w:spacing w:before="19"/>
        <w:ind w:left="557" w:right="0" w:firstLine="0"/>
        <w:jc w:val="left"/>
        <w:rPr>
          <w:sz w:val="22"/>
        </w:rPr>
      </w:pPr>
      <w:r>
        <w:rPr>
          <w:rFonts w:ascii="方正黑体_GBK" w:eastAsia="方正黑体_GBK" w:hint="eastAsia"/>
          <w:i/>
          <w:color w:val="231F20"/>
          <w:sz w:val="22"/>
        </w:rPr>
        <w:t xml:space="preserve">第三条 </w:t>
      </w:r>
      <w:r>
        <w:rPr>
          <w:color w:val="231F20"/>
          <w:sz w:val="22"/>
        </w:rPr>
        <w:t>《接待计划书》订立</w:t>
      </w:r>
    </w:p>
    <w:p>
      <w:pPr>
        <w:pStyle w:val="BodyText"/>
        <w:spacing w:line="319" w:lineRule="auto" w:before="108"/>
        <w:ind w:left="117" w:right="105" w:firstLine="440"/>
      </w:pPr>
      <w:r>
        <w:rPr>
          <w:color w:val="231F20"/>
        </w:rPr>
        <w:t>组团社可以通过电话、传真、电子邮件等通讯方式与地接社洽谈接待相关事宜，在此过程中双方最终达成一致的事项，应形成《接待计划书》，并由双方签字盖章确认。</w:t>
      </w:r>
    </w:p>
    <w:p>
      <w:pPr>
        <w:pStyle w:val="BodyText"/>
        <w:spacing w:before="25"/>
        <w:ind w:left="447"/>
      </w:pPr>
      <w:r>
        <w:rPr>
          <w:color w:val="231F20"/>
        </w:rPr>
        <w:t>《接待计划书》应明确以下内容：</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旅游者人数及名单；</w:t>
      </w:r>
    </w:p>
    <w:p>
      <w:pPr>
        <w:pStyle w:val="ListParagraph"/>
        <w:numPr>
          <w:ilvl w:val="0"/>
          <w:numId w:val="3"/>
        </w:numPr>
        <w:tabs>
          <w:tab w:pos="776" w:val="left" w:leader="none"/>
          <w:tab w:pos="5824" w:val="left" w:leader="none"/>
        </w:tabs>
        <w:spacing w:line="240" w:lineRule="auto" w:before="109" w:after="0"/>
        <w:ind w:left="775" w:right="0" w:hanging="218"/>
        <w:jc w:val="left"/>
        <w:rPr>
          <w:sz w:val="22"/>
        </w:rPr>
      </w:pPr>
      <w:r>
        <w:rPr>
          <w:color w:val="231F20"/>
          <w:sz w:val="22"/>
        </w:rPr>
        <w:t>接待费用</w:t>
      </w:r>
      <w:r>
        <w:rPr>
          <w:color w:val="231F20"/>
          <w:spacing w:val="-55"/>
          <w:sz w:val="22"/>
        </w:rPr>
        <w:t>；</w:t>
      </w:r>
      <w:r>
        <w:rPr>
          <w:color w:val="231F20"/>
          <w:sz w:val="22"/>
        </w:rPr>
        <w:t>其中地接导游费用为</w:t>
      </w:r>
      <w:r>
        <w:rPr>
          <w:color w:val="231F20"/>
          <w:sz w:val="22"/>
          <w:u w:val="single" w:color="231F20"/>
        </w:rPr>
        <w:t xml:space="preserve"> </w:t>
        <w:tab/>
      </w:r>
      <w:r>
        <w:rPr>
          <w:color w:val="231F20"/>
          <w:sz w:val="22"/>
        </w:rPr>
        <w:t>{地接导游费用}；</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抵离时间、航班、车次；</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交通、住宿、餐饮服务安排及标准；</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游览行程安排、游览内容及时间；</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自由活动次数及时间；</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对导游的要求；</w:t>
      </w:r>
    </w:p>
    <w:p>
      <w:pPr>
        <w:pStyle w:val="ListParagraph"/>
        <w:numPr>
          <w:ilvl w:val="0"/>
          <w:numId w:val="3"/>
        </w:numPr>
        <w:tabs>
          <w:tab w:pos="776" w:val="left" w:leader="none"/>
          <w:tab w:pos="5769" w:val="left" w:leader="none"/>
        </w:tabs>
        <w:spacing w:line="240" w:lineRule="auto" w:before="109" w:after="0"/>
        <w:ind w:left="775" w:right="0" w:hanging="218"/>
        <w:jc w:val="left"/>
        <w:rPr>
          <w:sz w:val="22"/>
        </w:rPr>
      </w:pPr>
      <w:r>
        <w:rPr>
          <w:color w:val="231F20"/>
          <w:sz w:val="22"/>
        </w:rPr>
        <w:t>其他</w:t>
      </w:r>
      <w:r>
        <w:rPr>
          <w:color w:val="231F20"/>
          <w:sz w:val="22"/>
          <w:u w:val="single" w:color="231F20"/>
        </w:rPr>
        <w:t>：</w:t>
        <w:tab/>
      </w:r>
      <w:r>
        <w:rPr>
          <w:color w:val="231F20"/>
          <w:sz w:val="22"/>
        </w:rPr>
        <w:t>{内容}</w:t>
      </w:r>
    </w:p>
    <w:p>
      <w:pPr>
        <w:spacing w:before="103"/>
        <w:ind w:left="557" w:right="0" w:firstLine="0"/>
        <w:jc w:val="left"/>
        <w:rPr>
          <w:sz w:val="22"/>
        </w:rPr>
      </w:pPr>
      <w:r>
        <w:rPr>
          <w:rFonts w:ascii="方正黑体_GBK" w:eastAsia="方正黑体_GBK" w:hint="eastAsia"/>
          <w:i/>
          <w:color w:val="231F20"/>
          <w:sz w:val="22"/>
        </w:rPr>
        <w:t xml:space="preserve">第四条 </w:t>
      </w:r>
      <w:r>
        <w:rPr>
          <w:color w:val="231F20"/>
          <w:sz w:val="22"/>
        </w:rPr>
        <w:t>{《接待计划书》变更}</w:t>
      </w:r>
    </w:p>
    <w:p>
      <w:pPr>
        <w:pStyle w:val="BodyText"/>
        <w:ind w:left="447"/>
      </w:pPr>
      <w:r>
        <w:rPr>
          <w:color w:val="231F20"/>
        </w:rPr>
        <w:t>《接待计划书》一经确认，单方不得擅自变更。</w:t>
      </w:r>
    </w:p>
    <w:p>
      <w:pPr>
        <w:pStyle w:val="BodyText"/>
        <w:tabs>
          <w:tab w:pos="2530" w:val="left" w:leader="none"/>
        </w:tabs>
        <w:spacing w:line="319" w:lineRule="auto"/>
        <w:ind w:left="117" w:right="211" w:firstLine="440"/>
        <w:jc w:val="both"/>
      </w:pPr>
      <w:r>
        <w:rPr>
          <w:color w:val="231F20"/>
        </w:rPr>
        <w:t>出团前如遇不可抗力或者其他原因确需变更的，经协商一致，就变更后的内容由双方签字盖章确认。紧急情况下，双方可通过电话、传真、电子邮件等通讯方式进行协商，但应在紧急情况消失之日起</w:t>
      </w:r>
      <w:r>
        <w:rPr>
          <w:color w:val="231F20"/>
          <w:u w:val="single" w:color="231F20"/>
        </w:rPr>
        <w:t xml:space="preserve"> </w:t>
        <w:tab/>
      </w:r>
      <w:r>
        <w:rPr>
          <w:color w:val="231F20"/>
        </w:rPr>
        <w:t>{补办期限} 日内由双方签字盖章确认。</w:t>
      </w:r>
    </w:p>
    <w:p>
      <w:pPr>
        <w:pStyle w:val="BodyText"/>
        <w:spacing w:before="26"/>
        <w:ind w:left="557"/>
      </w:pPr>
      <w:r>
        <w:rPr>
          <w:color w:val="231F20"/>
        </w:rPr>
        <w:t>除法律、法规规定外，出团后《接待计划书》不得变更。</w:t>
      </w:r>
    </w:p>
    <w:p>
      <w:pPr>
        <w:pStyle w:val="BodyText"/>
        <w:tabs>
          <w:tab w:pos="1437" w:val="left" w:leader="none"/>
        </w:tabs>
        <w:spacing w:line="316" w:lineRule="auto" w:before="103"/>
        <w:ind w:left="557" w:right="6426"/>
      </w:pPr>
      <w:r>
        <w:rPr>
          <w:rFonts w:ascii="方正黑体_GBK" w:eastAsia="方正黑体_GBK" w:hint="eastAsia"/>
          <w:i/>
          <w:color w:val="231F20"/>
        </w:rPr>
        <w:t xml:space="preserve">第五条 </w:t>
      </w:r>
      <w:r>
        <w:rPr>
          <w:color w:val="231F20"/>
        </w:rPr>
        <w:t>接待服务要求 地接社接待服务应符合：{接待服务标准}</w:t>
      </w:r>
    </w:p>
    <w:p>
      <w:pPr>
        <w:pStyle w:val="BodyText"/>
        <w:spacing w:line="319" w:lineRule="auto" w:before="28"/>
        <w:ind w:left="117" w:right="105" w:firstLine="440"/>
      </w:pPr>
      <w:r>
        <w:rPr>
          <w:color w:val="231F20"/>
        </w:rPr>
        <w:t>1.</w:t>
      </w:r>
      <w:r>
        <w:rPr>
          <w:color w:val="231F20"/>
          <w:spacing w:val="-10"/>
        </w:rPr>
        <w:t>《中华人民共和国旅游法》</w:t>
      </w:r>
      <w:r>
        <w:rPr>
          <w:color w:val="231F20"/>
        </w:rPr>
        <w:t>（</w:t>
      </w:r>
      <w:r>
        <w:rPr>
          <w:color w:val="231F20"/>
          <w:spacing w:val="-7"/>
        </w:rPr>
        <w:t>以下简称《旅游法》</w:t>
      </w:r>
      <w:r>
        <w:rPr>
          <w:color w:val="231F20"/>
          <w:spacing w:val="-110"/>
        </w:rPr>
        <w:t>）</w:t>
      </w:r>
      <w:r>
        <w:rPr>
          <w:color w:val="231F20"/>
          <w:spacing w:val="-25"/>
        </w:rPr>
        <w:t>、《旅行社条例》、《导游人员管理条例》等法律、法规；</w:t>
      </w:r>
    </w:p>
    <w:p>
      <w:pPr>
        <w:pStyle w:val="ListParagraph"/>
        <w:numPr>
          <w:ilvl w:val="0"/>
          <w:numId w:val="4"/>
        </w:numPr>
        <w:tabs>
          <w:tab w:pos="776" w:val="left" w:leader="none"/>
        </w:tabs>
        <w:spacing w:line="240" w:lineRule="auto" w:before="25" w:after="0"/>
        <w:ind w:left="775" w:right="0" w:hanging="218"/>
        <w:jc w:val="left"/>
        <w:rPr>
          <w:sz w:val="22"/>
        </w:rPr>
      </w:pPr>
      <w:r>
        <w:rPr>
          <w:color w:val="231F20"/>
          <w:sz w:val="22"/>
        </w:rPr>
        <w:t>双方约定的接待服务标准；</w:t>
      </w:r>
    </w:p>
    <w:p>
      <w:pPr>
        <w:pStyle w:val="ListParagraph"/>
        <w:numPr>
          <w:ilvl w:val="0"/>
          <w:numId w:val="4"/>
        </w:numPr>
        <w:tabs>
          <w:tab w:pos="776" w:val="left" w:leader="none"/>
        </w:tabs>
        <w:spacing w:line="240" w:lineRule="auto" w:before="108" w:after="0"/>
        <w:ind w:left="775" w:right="0" w:hanging="218"/>
        <w:jc w:val="left"/>
        <w:rPr>
          <w:sz w:val="22"/>
        </w:rPr>
      </w:pPr>
      <w:r>
        <w:rPr>
          <w:color w:val="231F20"/>
          <w:sz w:val="22"/>
        </w:rPr>
        <w:t>相关的国家标准和行业标准。</w:t>
      </w:r>
    </w:p>
    <w:p>
      <w:pPr>
        <w:tabs>
          <w:tab w:pos="1437" w:val="left" w:leader="none"/>
        </w:tabs>
        <w:spacing w:before="102"/>
        <w:ind w:left="557" w:right="0" w:firstLine="0"/>
        <w:jc w:val="left"/>
        <w:rPr>
          <w:sz w:val="22"/>
        </w:rPr>
      </w:pPr>
      <w:r>
        <w:rPr>
          <w:rFonts w:ascii="方正黑体_GBK" w:eastAsia="方正黑体_GBK" w:hint="eastAsia"/>
          <w:i/>
          <w:color w:val="231F20"/>
          <w:sz w:val="22"/>
        </w:rPr>
        <w:t>第六条</w:t>
        <w:tab/>
      </w:r>
      <w:r>
        <w:rPr>
          <w:color w:val="231F20"/>
          <w:sz w:val="22"/>
        </w:rPr>
        <w:t>接待费用结算</w:t>
      </w:r>
    </w:p>
    <w:p>
      <w:pPr>
        <w:pStyle w:val="BodyText"/>
        <w:tabs>
          <w:tab w:pos="9078" w:val="left" w:leader="none"/>
        </w:tabs>
        <w:spacing w:line="319" w:lineRule="auto"/>
        <w:ind w:left="557" w:right="105"/>
      </w:pPr>
      <w:r>
        <w:rPr>
          <w:color w:val="231F20"/>
        </w:rPr>
        <w:t>结算方式及期限</w:t>
      </w:r>
      <w:r>
        <w:rPr>
          <w:color w:val="231F20"/>
          <w:u w:val="single" w:color="231F20"/>
        </w:rPr>
        <w:t>：{</w:t>
      </w:r>
      <w:r>
        <w:rPr>
          <w:color w:val="231F20"/>
        </w:rPr>
        <w:t>结</w:t>
      </w:r>
      <w:r>
        <w:rPr>
          <w:color w:val="231F20"/>
          <w:spacing w:val="5"/>
        </w:rPr>
        <w:t>算方式及期限}。地接社应配合组团社关于接待费用结算的</w:t>
      </w:r>
      <w:r>
        <w:rPr>
          <w:color w:val="231F20"/>
        </w:rPr>
        <w:t>要</w:t>
      </w:r>
      <w:r>
        <w:rPr>
          <w:color w:val="231F20"/>
          <w:spacing w:val="5"/>
        </w:rPr>
        <w:t>求及时填写结算单，并加盖地接社财务专用</w:t>
      </w:r>
    </w:p>
    <w:p>
      <w:pPr>
        <w:spacing w:after="0" w:line="319" w:lineRule="auto"/>
        <w:sectPr>
          <w:pgSz w:w="11910" w:h="16840"/>
          <w:pgMar w:header="0" w:footer="832" w:top="1580" w:bottom="1020" w:left="1300" w:right="1200"/>
        </w:sectPr>
      </w:pPr>
    </w:p>
    <w:p>
      <w:pPr>
        <w:pStyle w:val="BodyText"/>
        <w:tabs>
          <w:tab w:pos="6972" w:val="left" w:leader="none"/>
        </w:tabs>
        <w:spacing w:line="319" w:lineRule="auto" w:before="24"/>
        <w:ind w:left="117" w:right="213"/>
      </w:pPr>
      <w:r>
        <w:rPr>
          <w:color w:val="231F20"/>
        </w:rPr>
        <w:t>章，送达组团社财务部门。组团社应在收到地接社结算单据后</w:t>
      </w:r>
      <w:r>
        <w:rPr>
          <w:color w:val="231F20"/>
          <w:u w:val="single" w:color="231F20"/>
        </w:rPr>
        <w:t xml:space="preserve"> {</w:t>
      </w:r>
      <w:r>
        <w:rPr>
          <w:color w:val="231F20"/>
        </w:rPr>
        <w:t>核对期限} 日内核对，并按约定按时足额支付接待费用。</w:t>
      </w:r>
    </w:p>
    <w:p>
      <w:pPr>
        <w:tabs>
          <w:tab w:pos="1437" w:val="left" w:leader="none"/>
        </w:tabs>
        <w:spacing w:before="19"/>
        <w:ind w:left="557" w:right="0" w:firstLine="0"/>
        <w:jc w:val="left"/>
        <w:rPr>
          <w:sz w:val="22"/>
        </w:rPr>
      </w:pPr>
      <w:r>
        <w:rPr>
          <w:rFonts w:ascii="方正黑体_GBK" w:eastAsia="方正黑体_GBK" w:hint="eastAsia"/>
          <w:i/>
          <w:color w:val="231F20"/>
          <w:sz w:val="22"/>
        </w:rPr>
        <w:t>第七条</w:t>
        <w:tab/>
      </w:r>
      <w:r>
        <w:rPr>
          <w:color w:val="231F20"/>
          <w:sz w:val="22"/>
        </w:rPr>
        <w:t>合同义务</w:t>
      </w:r>
    </w:p>
    <w:p>
      <w:pPr>
        <w:pStyle w:val="BodyText"/>
        <w:spacing w:before="108"/>
        <w:ind w:left="447"/>
      </w:pPr>
      <w:r>
        <w:rPr>
          <w:color w:val="231F20"/>
        </w:rPr>
        <w:t>（一）组团社义务</w:t>
      </w:r>
    </w:p>
    <w:p>
      <w:pPr>
        <w:pStyle w:val="ListParagraph"/>
        <w:numPr>
          <w:ilvl w:val="0"/>
          <w:numId w:val="5"/>
        </w:numPr>
        <w:tabs>
          <w:tab w:pos="776" w:val="left" w:leader="none"/>
        </w:tabs>
        <w:spacing w:line="240" w:lineRule="auto" w:before="108" w:after="0"/>
        <w:ind w:left="117" w:right="0" w:firstLine="440"/>
        <w:jc w:val="left"/>
        <w:rPr>
          <w:sz w:val="22"/>
        </w:rPr>
      </w:pPr>
      <w:r>
        <w:rPr>
          <w:color w:val="231F20"/>
          <w:sz w:val="22"/>
        </w:rPr>
        <w:t>组团社应按约定的时限、数额支付接待费用；</w:t>
      </w:r>
    </w:p>
    <w:p>
      <w:pPr>
        <w:pStyle w:val="ListParagraph"/>
        <w:numPr>
          <w:ilvl w:val="0"/>
          <w:numId w:val="5"/>
        </w:numPr>
        <w:tabs>
          <w:tab w:pos="774" w:val="left" w:leader="none"/>
        </w:tabs>
        <w:spacing w:line="319" w:lineRule="auto" w:before="108" w:after="0"/>
        <w:ind w:left="117" w:right="105" w:firstLine="440"/>
        <w:jc w:val="left"/>
        <w:rPr>
          <w:sz w:val="22"/>
        </w:rPr>
      </w:pPr>
      <w:r>
        <w:rPr>
          <w:color w:val="231F20"/>
          <w:spacing w:val="-2"/>
          <w:sz w:val="22"/>
        </w:rPr>
        <w:t>组团社应真实、明确说明接待要求和标准，将与旅游者达成的合同、单团《旅游行程单》的副本提供给地接社；</w:t>
      </w:r>
    </w:p>
    <w:p>
      <w:pPr>
        <w:pStyle w:val="ListParagraph"/>
        <w:numPr>
          <w:ilvl w:val="0"/>
          <w:numId w:val="5"/>
        </w:numPr>
        <w:tabs>
          <w:tab w:pos="776" w:val="left" w:leader="none"/>
        </w:tabs>
        <w:spacing w:line="240" w:lineRule="auto" w:before="25" w:after="0"/>
        <w:ind w:left="117" w:right="0" w:firstLine="440"/>
        <w:jc w:val="left"/>
        <w:rPr>
          <w:sz w:val="22"/>
        </w:rPr>
      </w:pPr>
      <w:r>
        <w:rPr>
          <w:color w:val="231F20"/>
          <w:sz w:val="22"/>
        </w:rPr>
        <w:t>组团社应对地接社完成接待服务予以必要协助。</w:t>
      </w:r>
    </w:p>
    <w:p>
      <w:pPr>
        <w:pStyle w:val="BodyText"/>
        <w:ind w:left="447"/>
      </w:pPr>
      <w:r>
        <w:rPr>
          <w:color w:val="231F20"/>
        </w:rPr>
        <w:t>（二）地接社义务</w:t>
      </w:r>
    </w:p>
    <w:p>
      <w:pPr>
        <w:pStyle w:val="ListParagraph"/>
        <w:numPr>
          <w:ilvl w:val="0"/>
          <w:numId w:val="6"/>
        </w:numPr>
        <w:tabs>
          <w:tab w:pos="776" w:val="left" w:leader="none"/>
        </w:tabs>
        <w:spacing w:line="319" w:lineRule="auto" w:before="109" w:after="0"/>
        <w:ind w:left="117" w:right="213" w:firstLine="440"/>
        <w:jc w:val="left"/>
        <w:rPr>
          <w:sz w:val="22"/>
        </w:rPr>
      </w:pPr>
      <w:r>
        <w:rPr>
          <w:color w:val="231F20"/>
          <w:sz w:val="22"/>
        </w:rPr>
        <w:t>地接社应严格按照双方约定安排旅游行程、旅游景点、服务项目等，不得因与组团社团款等纠纷擅自中止旅游服务；</w:t>
      </w:r>
    </w:p>
    <w:p>
      <w:pPr>
        <w:pStyle w:val="ListParagraph"/>
        <w:numPr>
          <w:ilvl w:val="0"/>
          <w:numId w:val="6"/>
        </w:numPr>
        <w:tabs>
          <w:tab w:pos="776" w:val="left" w:leader="none"/>
        </w:tabs>
        <w:spacing w:line="319" w:lineRule="auto" w:before="25" w:after="0"/>
        <w:ind w:left="117" w:right="212" w:firstLine="440"/>
        <w:jc w:val="left"/>
        <w:rPr>
          <w:sz w:val="22"/>
        </w:rPr>
      </w:pPr>
      <w:r>
        <w:rPr>
          <w:color w:val="231F20"/>
          <w:sz w:val="22"/>
        </w:rPr>
        <w:t>未经组团社书面同意，地接社不得以任何方式将组团社组织的旅游者与其他旅游者合并接待，或者转交任何第三方接待；</w:t>
      </w:r>
    </w:p>
    <w:p>
      <w:pPr>
        <w:pStyle w:val="ListParagraph"/>
        <w:numPr>
          <w:ilvl w:val="0"/>
          <w:numId w:val="6"/>
        </w:numPr>
        <w:tabs>
          <w:tab w:pos="776" w:val="left" w:leader="none"/>
        </w:tabs>
        <w:spacing w:line="240" w:lineRule="auto" w:before="25" w:after="0"/>
        <w:ind w:left="775" w:right="0" w:hanging="218"/>
        <w:jc w:val="left"/>
        <w:rPr>
          <w:sz w:val="22"/>
        </w:rPr>
      </w:pPr>
      <w:r>
        <w:rPr>
          <w:color w:val="231F20"/>
          <w:sz w:val="22"/>
        </w:rPr>
        <w:t>地接社应选择合格且具有相应接待能力的供应商；</w:t>
      </w:r>
    </w:p>
    <w:p>
      <w:pPr>
        <w:pStyle w:val="ListParagraph"/>
        <w:numPr>
          <w:ilvl w:val="0"/>
          <w:numId w:val="6"/>
        </w:numPr>
        <w:tabs>
          <w:tab w:pos="776" w:val="left" w:leader="none"/>
          <w:tab w:pos="9078" w:val="left" w:leader="none"/>
        </w:tabs>
        <w:spacing w:line="319" w:lineRule="auto" w:before="109" w:after="0"/>
        <w:ind w:left="117" w:right="105" w:firstLine="440"/>
        <w:jc w:val="left"/>
        <w:rPr>
          <w:sz w:val="22"/>
        </w:rPr>
      </w:pPr>
      <w:r>
        <w:rPr>
          <w:color w:val="231F20"/>
          <w:sz w:val="22"/>
        </w:rPr>
        <w:t>地接社应积极配合组团社做好接待服务质量测评工作，按约定通报团队动态和反馈接待服务质量信息，服务质量测评方式及达标标准双方约定为</w:t>
      </w:r>
      <w:r>
        <w:rPr>
          <w:color w:val="231F20"/>
          <w:sz w:val="22"/>
          <w:u w:val="single" w:color="231F20"/>
        </w:rPr>
        <w:t>：{</w:t>
      </w:r>
      <w:r>
        <w:rPr>
          <w:color w:val="231F20"/>
          <w:sz w:val="22"/>
        </w:rPr>
        <w:t>服务质量测评方式及达标标准}；</w:t>
      </w:r>
    </w:p>
    <w:p>
      <w:pPr>
        <w:pStyle w:val="ListParagraph"/>
        <w:numPr>
          <w:ilvl w:val="0"/>
          <w:numId w:val="6"/>
        </w:numPr>
        <w:tabs>
          <w:tab w:pos="776" w:val="left" w:leader="none"/>
        </w:tabs>
        <w:spacing w:line="240" w:lineRule="auto" w:before="26" w:after="0"/>
        <w:ind w:left="775" w:right="0" w:hanging="218"/>
        <w:jc w:val="left"/>
        <w:rPr>
          <w:sz w:val="22"/>
        </w:rPr>
      </w:pPr>
      <w:r>
        <w:rPr>
          <w:color w:val="231F20"/>
          <w:sz w:val="22"/>
        </w:rPr>
        <w:t>要求导游引导旅游者健康、文明旅游，劝阻旅游者违法和违反社会公德的行为。</w:t>
      </w:r>
    </w:p>
    <w:p>
      <w:pPr>
        <w:pStyle w:val="BodyText"/>
        <w:ind w:left="447"/>
      </w:pPr>
      <w:r>
        <w:rPr>
          <w:color w:val="231F20"/>
        </w:rPr>
        <w:t>（三）双方共同义务</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双方约定的接待费用不应低于接待和服务成本；</w:t>
      </w:r>
    </w:p>
    <w:p>
      <w:pPr>
        <w:pStyle w:val="ListParagraph"/>
        <w:numPr>
          <w:ilvl w:val="0"/>
          <w:numId w:val="7"/>
        </w:numPr>
        <w:tabs>
          <w:tab w:pos="777" w:val="left" w:leader="none"/>
        </w:tabs>
        <w:spacing w:line="319" w:lineRule="auto" w:before="109" w:after="0"/>
        <w:ind w:left="117" w:right="215" w:firstLine="440"/>
        <w:jc w:val="left"/>
        <w:rPr>
          <w:sz w:val="22"/>
        </w:rPr>
      </w:pPr>
      <w:r>
        <w:rPr>
          <w:color w:val="231F20"/>
          <w:spacing w:val="-15"/>
          <w:sz w:val="22"/>
        </w:rPr>
        <w:t>双方的约定应遵守《旅游法》、《消费者权益保护法》等法律、法规，不应损害旅游者的合法权益；</w:t>
      </w:r>
    </w:p>
    <w:p>
      <w:pPr>
        <w:pStyle w:val="ListParagraph"/>
        <w:numPr>
          <w:ilvl w:val="0"/>
          <w:numId w:val="7"/>
        </w:numPr>
        <w:tabs>
          <w:tab w:pos="776" w:val="left" w:leader="none"/>
        </w:tabs>
        <w:spacing w:line="240" w:lineRule="auto" w:before="25" w:after="0"/>
        <w:ind w:left="117" w:right="0" w:firstLine="440"/>
        <w:jc w:val="left"/>
        <w:rPr>
          <w:sz w:val="22"/>
        </w:rPr>
      </w:pPr>
      <w:r>
        <w:rPr>
          <w:color w:val="231F20"/>
          <w:sz w:val="22"/>
        </w:rPr>
        <w:t>一方违约后，对方应采取适当措施防止损失的扩大；</w:t>
      </w:r>
    </w:p>
    <w:p>
      <w:pPr>
        <w:pStyle w:val="ListParagraph"/>
        <w:numPr>
          <w:ilvl w:val="0"/>
          <w:numId w:val="7"/>
        </w:numPr>
        <w:tabs>
          <w:tab w:pos="776" w:val="left" w:leader="none"/>
        </w:tabs>
        <w:spacing w:line="240" w:lineRule="auto" w:before="109" w:after="0"/>
        <w:ind w:left="117" w:right="0" w:firstLine="440"/>
        <w:jc w:val="left"/>
        <w:rPr>
          <w:sz w:val="22"/>
        </w:rPr>
      </w:pPr>
      <w:r>
        <w:rPr>
          <w:color w:val="231F20"/>
          <w:sz w:val="22"/>
        </w:rPr>
        <w:t>双方均应保守经营活动中获取的商业秘密；</w:t>
      </w:r>
    </w:p>
    <w:p>
      <w:pPr>
        <w:pStyle w:val="ListParagraph"/>
        <w:numPr>
          <w:ilvl w:val="0"/>
          <w:numId w:val="7"/>
        </w:numPr>
        <w:tabs>
          <w:tab w:pos="776" w:val="left" w:leader="none"/>
        </w:tabs>
        <w:spacing w:line="319" w:lineRule="auto" w:before="109" w:after="0"/>
        <w:ind w:left="117" w:right="210" w:firstLine="440"/>
        <w:jc w:val="left"/>
        <w:rPr>
          <w:sz w:val="22"/>
        </w:rPr>
      </w:pPr>
      <w:r>
        <w:rPr>
          <w:color w:val="231F20"/>
          <w:sz w:val="22"/>
        </w:rPr>
        <w:t>旅游行程中旅游者主张解除合同的，旅行社应当协助旅游者返回出发地或者旅游者指定的合理地点。</w:t>
      </w:r>
    </w:p>
    <w:p>
      <w:pPr>
        <w:tabs>
          <w:tab w:pos="1437" w:val="left" w:leader="none"/>
        </w:tabs>
        <w:spacing w:before="19"/>
        <w:ind w:left="557" w:right="0" w:firstLine="0"/>
        <w:jc w:val="left"/>
        <w:rPr>
          <w:sz w:val="22"/>
        </w:rPr>
      </w:pPr>
      <w:r>
        <w:rPr>
          <w:rFonts w:ascii="方正黑体_GBK" w:eastAsia="方正黑体_GBK" w:hint="eastAsia"/>
          <w:i/>
          <w:color w:val="231F20"/>
          <w:sz w:val="22"/>
        </w:rPr>
        <w:t>第八条</w:t>
        <w:tab/>
      </w:r>
      <w:r>
        <w:rPr>
          <w:color w:val="231F20"/>
          <w:sz w:val="22"/>
        </w:rPr>
        <w:t>风险防范</w:t>
      </w:r>
    </w:p>
    <w:p>
      <w:pPr>
        <w:pStyle w:val="ListParagraph"/>
        <w:numPr>
          <w:ilvl w:val="0"/>
          <w:numId w:val="8"/>
        </w:numPr>
        <w:tabs>
          <w:tab w:pos="776" w:val="left" w:leader="none"/>
        </w:tabs>
        <w:spacing w:line="240" w:lineRule="auto" w:before="109" w:after="0"/>
        <w:ind w:left="117" w:right="0" w:firstLine="440"/>
        <w:jc w:val="left"/>
        <w:rPr>
          <w:sz w:val="22"/>
        </w:rPr>
      </w:pPr>
      <w:r>
        <w:rPr>
          <w:color w:val="231F20"/>
          <w:sz w:val="22"/>
        </w:rPr>
        <w:t>组团社和地接社均应按法律、法规规定足额投保旅行社责任保险；</w:t>
      </w:r>
    </w:p>
    <w:p>
      <w:pPr>
        <w:pStyle w:val="ListParagraph"/>
        <w:numPr>
          <w:ilvl w:val="0"/>
          <w:numId w:val="8"/>
        </w:numPr>
        <w:tabs>
          <w:tab w:pos="776" w:val="left" w:leader="none"/>
        </w:tabs>
        <w:spacing w:line="240" w:lineRule="auto" w:before="109" w:after="0"/>
        <w:ind w:left="117" w:right="0" w:firstLine="440"/>
        <w:jc w:val="left"/>
        <w:rPr>
          <w:sz w:val="22"/>
        </w:rPr>
      </w:pPr>
      <w:r>
        <w:rPr>
          <w:color w:val="231F20"/>
          <w:sz w:val="22"/>
        </w:rPr>
        <w:t>组团社应提示其组织的旅游者购买人身意外伤害保险；</w:t>
      </w:r>
    </w:p>
    <w:p>
      <w:pPr>
        <w:pStyle w:val="ListParagraph"/>
        <w:numPr>
          <w:ilvl w:val="0"/>
          <w:numId w:val="8"/>
        </w:numPr>
        <w:tabs>
          <w:tab w:pos="776" w:val="left" w:leader="none"/>
          <w:tab w:pos="6493" w:val="left" w:leader="none"/>
        </w:tabs>
        <w:spacing w:line="319" w:lineRule="auto" w:before="109" w:after="0"/>
        <w:ind w:left="117" w:right="210" w:firstLine="440"/>
        <w:jc w:val="left"/>
        <w:rPr>
          <w:sz w:val="22"/>
        </w:rPr>
      </w:pPr>
      <w:r>
        <w:rPr>
          <w:color w:val="231F20"/>
          <w:sz w:val="22"/>
        </w:rPr>
        <w:t>地接社为组团社组织的旅游者安排的车辆及司机必须具备合法有效资质，地接社选择的客运经营者应已购买承运人责任保险，且保险金额不低于</w:t>
      </w:r>
      <w:r>
        <w:rPr>
          <w:color w:val="231F20"/>
          <w:sz w:val="22"/>
          <w:u w:val="single" w:color="231F20"/>
        </w:rPr>
        <w:t xml:space="preserve"> {</w:t>
      </w:r>
      <w:r>
        <w:rPr>
          <w:color w:val="231F20"/>
          <w:sz w:val="22"/>
        </w:rPr>
        <w:t>保险金额} 万元；</w:t>
      </w:r>
    </w:p>
    <w:p>
      <w:pPr>
        <w:pStyle w:val="ListParagraph"/>
        <w:numPr>
          <w:ilvl w:val="0"/>
          <w:numId w:val="8"/>
        </w:numPr>
        <w:tabs>
          <w:tab w:pos="797" w:val="left" w:leader="none"/>
        </w:tabs>
        <w:spacing w:line="240" w:lineRule="auto" w:before="26" w:after="0"/>
        <w:ind w:left="796" w:right="0" w:hanging="239"/>
        <w:jc w:val="left"/>
        <w:rPr>
          <w:sz w:val="22"/>
        </w:rPr>
      </w:pPr>
      <w:r>
        <w:rPr>
          <w:color w:val="231F20"/>
          <w:sz w:val="22"/>
        </w:rPr>
        <w:t>组团社和地接社均应保证旅游者的安全，对于可能危及旅游者人身及财产安全的事项，</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应做出真实的说明和明确的警示，并采取必要措施防止危害发生和扩大；</w:t>
      </w:r>
    </w:p>
    <w:p>
      <w:pPr>
        <w:pStyle w:val="ListParagraph"/>
        <w:numPr>
          <w:ilvl w:val="0"/>
          <w:numId w:val="8"/>
        </w:numPr>
        <w:tabs>
          <w:tab w:pos="829" w:val="left" w:leader="none"/>
        </w:tabs>
        <w:spacing w:line="319" w:lineRule="auto" w:before="109" w:after="0"/>
        <w:ind w:left="117" w:right="155" w:firstLine="494"/>
        <w:jc w:val="both"/>
        <w:rPr>
          <w:sz w:val="22"/>
        </w:rPr>
      </w:pPr>
      <w:r>
        <w:rPr>
          <w:color w:val="231F20"/>
          <w:sz w:val="22"/>
        </w:rPr>
        <w:t>地接社接待过程中，旅游者受到人身、财产损害的，地接社应采取救助措施并先行垫付必要费用，及时向组团社反馈信息，收集和保存相关证据，组团社和地接社在责任划分明确后</w:t>
      </w:r>
    </w:p>
    <w:p>
      <w:pPr>
        <w:pStyle w:val="BodyText"/>
        <w:tabs>
          <w:tab w:pos="1102" w:val="left" w:leader="none"/>
        </w:tabs>
        <w:spacing w:before="25"/>
        <w:ind w:left="117"/>
      </w:pPr>
      <w:r>
        <w:rPr>
          <w:rFonts w:ascii="Times New Roman" w:eastAsia="Times New Roman"/>
          <w:color w:val="231F20"/>
          <w:u w:val="single" w:color="231F20"/>
        </w:rPr>
        <w:t>日内</w:t>
      </w:r>
      <w:r>
        <w:rPr>
          <w:color w:val="231F20"/>
        </w:rPr>
        <w:t>根据各自承担的责任进行结算，属于第三方责任的，地接社应协助旅游者索赔。</w:t>
      </w:r>
    </w:p>
    <w:p>
      <w:pPr>
        <w:tabs>
          <w:tab w:pos="1437" w:val="left" w:leader="none"/>
        </w:tabs>
        <w:spacing w:before="102"/>
        <w:ind w:left="557" w:right="0" w:firstLine="0"/>
        <w:jc w:val="left"/>
        <w:rPr>
          <w:sz w:val="22"/>
        </w:rPr>
      </w:pPr>
      <w:r>
        <w:rPr>
          <w:rFonts w:ascii="方正黑体_GBK" w:eastAsia="方正黑体_GBK" w:hint="eastAsia"/>
          <w:i/>
          <w:color w:val="231F20"/>
          <w:sz w:val="22"/>
        </w:rPr>
        <w:t>第九条</w:t>
        <w:tab/>
      </w:r>
      <w:r>
        <w:rPr>
          <w:color w:val="231F20"/>
          <w:sz w:val="22"/>
        </w:rPr>
        <w:t>旅游纠纷处理</w:t>
      </w:r>
    </w:p>
    <w:p>
      <w:pPr>
        <w:pStyle w:val="ListParagraph"/>
        <w:numPr>
          <w:ilvl w:val="0"/>
          <w:numId w:val="9"/>
        </w:numPr>
        <w:tabs>
          <w:tab w:pos="776" w:val="left" w:leader="none"/>
        </w:tabs>
        <w:spacing w:line="319" w:lineRule="auto" w:before="109" w:after="0"/>
        <w:ind w:left="117" w:right="152" w:firstLine="440"/>
        <w:jc w:val="both"/>
        <w:rPr>
          <w:sz w:val="22"/>
        </w:rPr>
      </w:pPr>
      <w:r>
        <w:rPr>
          <w:color w:val="231F20"/>
          <w:sz w:val="22"/>
        </w:rPr>
        <w:t>旅游者在地接社接待过程中提出投诉的，地接社应尽力在当地及时解决，并将处理情况书面通知组团社，未能在当地解决的，应及时书面通知组团社。地接社应积极配合组团社处理旅游者投诉、仲裁、诉讼等服务质量纠纷，及时提供所需证据材料。</w:t>
      </w:r>
    </w:p>
    <w:p>
      <w:pPr>
        <w:pStyle w:val="ListParagraph"/>
        <w:numPr>
          <w:ilvl w:val="0"/>
          <w:numId w:val="9"/>
        </w:numPr>
        <w:tabs>
          <w:tab w:pos="778" w:val="left" w:leader="none"/>
        </w:tabs>
        <w:spacing w:line="240" w:lineRule="auto" w:before="26" w:after="0"/>
        <w:ind w:left="777" w:right="0" w:hanging="220"/>
        <w:jc w:val="left"/>
        <w:rPr>
          <w:sz w:val="22"/>
        </w:rPr>
      </w:pPr>
      <w:r>
        <w:rPr>
          <w:color w:val="231F20"/>
          <w:spacing w:val="3"/>
          <w:sz w:val="22"/>
        </w:rPr>
        <w:t>组团社和地接社应根据调查情况，划分各自应承担的赔偿责任，并于责任划分明确后</w:t>
      </w:r>
    </w:p>
    <w:p>
      <w:pPr>
        <w:pStyle w:val="BodyText"/>
        <w:tabs>
          <w:tab w:pos="1048" w:val="left" w:leader="none"/>
        </w:tabs>
        <w:spacing w:line="319" w:lineRule="auto"/>
        <w:ind w:left="117" w:right="155"/>
      </w:pPr>
      <w:r>
        <w:rPr>
          <w:rFonts w:ascii="Times New Roman" w:eastAsia="Times New Roman"/>
          <w:color w:val="231F20"/>
          <w:u w:val="single" w:color="231F20"/>
        </w:rPr>
        <w:t>日内</w:t>
      </w:r>
      <w:r>
        <w:rPr>
          <w:color w:val="231F20"/>
        </w:rPr>
        <w:t>进行结算。因组团社原因导致行程{延误、更改、取消等}所造成的经济损失由组团社承担，因地接社接待{服务质量问题}造成的经济损失由地接社承担。</w:t>
      </w:r>
    </w:p>
    <w:p>
      <w:pPr>
        <w:pStyle w:val="ListParagraph"/>
        <w:numPr>
          <w:ilvl w:val="0"/>
          <w:numId w:val="9"/>
        </w:numPr>
        <w:tabs>
          <w:tab w:pos="776" w:val="left" w:leader="none"/>
          <w:tab w:pos="6053" w:val="left" w:leader="none"/>
        </w:tabs>
        <w:spacing w:line="319" w:lineRule="auto" w:before="25" w:after="0"/>
        <w:ind w:left="117" w:right="150" w:firstLine="440"/>
        <w:jc w:val="both"/>
        <w:rPr>
          <w:sz w:val="22"/>
        </w:rPr>
      </w:pPr>
      <w:r>
        <w:rPr>
          <w:color w:val="231F20"/>
          <w:sz w:val="22"/>
        </w:rPr>
        <w:t>因地接社接待服务质量问题所产生的经济赔偿，组团社依照或者参照如下标准做出赔偿后，地接社应在组团社提出追索请求并提供相关证明后</w:t>
      </w:r>
      <w:r>
        <w:rPr>
          <w:color w:val="231F20"/>
          <w:sz w:val="22"/>
          <w:u w:val="single" w:color="231F20"/>
        </w:rPr>
        <w:t xml:space="preserve"> {</w:t>
      </w:r>
      <w:r>
        <w:rPr>
          <w:color w:val="231F20"/>
          <w:sz w:val="22"/>
        </w:rPr>
        <w:t>赔偿期限} 日内对组团社予以全额赔偿：</w:t>
      </w:r>
    </w:p>
    <w:p>
      <w:pPr>
        <w:pStyle w:val="BodyText"/>
        <w:spacing w:before="25"/>
        <w:ind w:left="447"/>
      </w:pPr>
      <w:r>
        <w:rPr>
          <w:color w:val="231F20"/>
        </w:rPr>
        <w:t>（ 1）依照组团社{赔偿标准}和旅游者约定的赔偿标准；</w:t>
      </w:r>
    </w:p>
    <w:p>
      <w:pPr>
        <w:pStyle w:val="BodyText"/>
        <w:ind w:left="447"/>
      </w:pPr>
      <w:r>
        <w:rPr>
          <w:color w:val="231F20"/>
        </w:rPr>
        <w:t>（{参照内容}）参照国家旅游局制定的《旅行社服务质量赔偿标准》；</w:t>
      </w:r>
    </w:p>
    <w:p>
      <w:pPr>
        <w:pStyle w:val="BodyText"/>
        <w:ind w:left="447"/>
      </w:pPr>
      <w:r>
        <w:rPr>
          <w:color w:val="231F20"/>
        </w:rPr>
        <w:t>（{依据内容}）依照法院、仲裁机构裁决所确定的数额标准。</w:t>
      </w:r>
    </w:p>
    <w:p>
      <w:pPr>
        <w:tabs>
          <w:tab w:pos="1437" w:val="left" w:leader="none"/>
        </w:tabs>
        <w:spacing w:before="103"/>
        <w:ind w:left="557" w:right="0" w:firstLine="0"/>
        <w:jc w:val="left"/>
        <w:rPr>
          <w:sz w:val="22"/>
        </w:rPr>
      </w:pPr>
      <w:r>
        <w:rPr>
          <w:rFonts w:ascii="方正黑体_GBK" w:eastAsia="方正黑体_GBK" w:hint="eastAsia"/>
          <w:i/>
          <w:color w:val="231F20"/>
          <w:sz w:val="22"/>
        </w:rPr>
        <w:t>第十条</w:t>
        <w:tab/>
      </w:r>
      <w:r>
        <w:rPr>
          <w:color w:val="231F20"/>
          <w:sz w:val="22"/>
        </w:rPr>
        <w:t>不可抗力</w:t>
      </w:r>
    </w:p>
    <w:p>
      <w:pPr>
        <w:pStyle w:val="ListParagraph"/>
        <w:numPr>
          <w:ilvl w:val="0"/>
          <w:numId w:val="10"/>
        </w:numPr>
        <w:tabs>
          <w:tab w:pos="776" w:val="left" w:leader="none"/>
        </w:tabs>
        <w:spacing w:line="319" w:lineRule="auto" w:before="109" w:after="0"/>
        <w:ind w:left="117" w:right="150" w:firstLine="440"/>
        <w:jc w:val="both"/>
        <w:rPr>
          <w:sz w:val="22"/>
        </w:rPr>
      </w:pPr>
      <w:r>
        <w:rPr>
          <w:color w:val="231F20"/>
          <w:sz w:val="22"/>
        </w:rPr>
        <w:t>因不可抗力等不可归责于合同任何一方的事由致使一方不能履行合同的，应根据影响程</w:t>
      </w:r>
      <w:r>
        <w:rPr>
          <w:color w:val="231F20"/>
          <w:spacing w:val="1"/>
          <w:sz w:val="22"/>
        </w:rPr>
        <w:t>度，部分或者全部免除责任，但迟延履行后发生不可抗力等不可归责于合同任何一方的事由</w:t>
      </w:r>
      <w:r>
        <w:rPr>
          <w:color w:val="231F20"/>
          <w:sz w:val="22"/>
        </w:rPr>
        <w:t>的，不能免除责任。</w:t>
      </w:r>
    </w:p>
    <w:p>
      <w:pPr>
        <w:pStyle w:val="ListParagraph"/>
        <w:numPr>
          <w:ilvl w:val="0"/>
          <w:numId w:val="10"/>
        </w:numPr>
        <w:tabs>
          <w:tab w:pos="776" w:val="left" w:leader="none"/>
        </w:tabs>
        <w:spacing w:line="319" w:lineRule="auto" w:before="25" w:after="0"/>
        <w:ind w:left="117" w:right="150" w:firstLine="440"/>
        <w:jc w:val="both"/>
        <w:rPr>
          <w:sz w:val="22"/>
        </w:rPr>
      </w:pPr>
      <w:r>
        <w:rPr>
          <w:color w:val="231F20"/>
          <w:sz w:val="22"/>
        </w:rPr>
        <w:t>一方因不可抗力等不可归责于合同任何一方的事由不能履行合同的，应当及时通知另一方，并在合理期限内提供证明。双方应采取合理适当措施防止损失扩大，因一方未履行相关义务造成对方损失的，应承担赔偿责任。</w:t>
      </w:r>
    </w:p>
    <w:p>
      <w:pPr>
        <w:pStyle w:val="ListParagraph"/>
        <w:numPr>
          <w:ilvl w:val="0"/>
          <w:numId w:val="10"/>
        </w:numPr>
        <w:tabs>
          <w:tab w:pos="767" w:val="left" w:leader="none"/>
        </w:tabs>
        <w:spacing w:line="319" w:lineRule="auto" w:before="25" w:after="0"/>
        <w:ind w:left="117" w:right="159" w:firstLine="440"/>
        <w:jc w:val="both"/>
        <w:rPr>
          <w:sz w:val="22"/>
        </w:rPr>
      </w:pPr>
      <w:r>
        <w:rPr>
          <w:color w:val="231F20"/>
          <w:spacing w:val="-5"/>
          <w:sz w:val="22"/>
        </w:rPr>
        <w:t>因不可抗力等不可归责于合同任何一方的事由导致行程延滞，组团社和地接社应及时与旅游者协商、调整行程，所增加的费用，同意旅游者不承担的部分由组团社和地接社协商承担。</w:t>
      </w:r>
    </w:p>
    <w:p>
      <w:pPr>
        <w:pStyle w:val="ListParagraph"/>
        <w:numPr>
          <w:ilvl w:val="0"/>
          <w:numId w:val="10"/>
        </w:numPr>
        <w:tabs>
          <w:tab w:pos="776" w:val="left" w:leader="none"/>
        </w:tabs>
        <w:spacing w:line="319" w:lineRule="auto" w:before="25" w:after="0"/>
        <w:ind w:left="117" w:right="152" w:firstLine="440"/>
        <w:jc w:val="both"/>
        <w:rPr>
          <w:sz w:val="22"/>
        </w:rPr>
      </w:pPr>
      <w:r>
        <w:rPr>
          <w:color w:val="231F20"/>
          <w:sz w:val="22"/>
        </w:rPr>
        <w:t>因不可抗力等不可归责于合同任何一方的事由危及旅游者人身、财产安全，组团社和地接社应采取相应的安全救助措施，所支出的费用，同意旅游者不承担的部分由组团社和地接社协商承担。</w:t>
      </w:r>
    </w:p>
    <w:p>
      <w:pPr>
        <w:tabs>
          <w:tab w:pos="1657" w:val="left" w:leader="none"/>
        </w:tabs>
        <w:spacing w:before="19"/>
        <w:ind w:left="557" w:right="0" w:firstLine="0"/>
        <w:jc w:val="left"/>
        <w:rPr>
          <w:sz w:val="22"/>
        </w:rPr>
      </w:pPr>
      <w:r>
        <w:rPr>
          <w:rFonts w:ascii="方正黑体_GBK" w:eastAsia="方正黑体_GBK" w:hint="eastAsia"/>
          <w:i/>
          <w:color w:val="231F20"/>
          <w:sz w:val="22"/>
        </w:rPr>
        <w:t>第十一条</w:t>
        <w:tab/>
      </w:r>
      <w:r>
        <w:rPr>
          <w:color w:val="231F20"/>
          <w:sz w:val="22"/>
        </w:rPr>
        <w:t>违约责任</w:t>
      </w:r>
    </w:p>
    <w:p>
      <w:pPr>
        <w:pStyle w:val="ListParagraph"/>
        <w:numPr>
          <w:ilvl w:val="0"/>
          <w:numId w:val="11"/>
        </w:numPr>
        <w:tabs>
          <w:tab w:pos="776" w:val="left" w:leader="none"/>
          <w:tab w:pos="8729" w:val="left" w:leader="none"/>
        </w:tabs>
        <w:spacing w:line="319" w:lineRule="auto" w:before="109" w:after="0"/>
        <w:ind w:left="117" w:right="100" w:firstLine="440"/>
        <w:jc w:val="both"/>
        <w:rPr>
          <w:sz w:val="22"/>
        </w:rPr>
      </w:pPr>
      <w:r>
        <w:rPr>
          <w:color w:val="231F20"/>
          <w:sz w:val="22"/>
        </w:rPr>
        <w:t>组团社未按合同约定按时足额支付接待费用，应以未支付团款为基数，按日</w:t>
      </w:r>
      <w:r>
        <w:rPr>
          <w:color w:val="231F20"/>
          <w:sz w:val="22"/>
          <w:u w:val="single" w:color="231F20"/>
        </w:rPr>
        <w:t>{违</w:t>
      </w:r>
      <w:r>
        <w:rPr>
          <w:color w:val="231F20"/>
          <w:sz w:val="22"/>
        </w:rPr>
        <w:t>约金比</w:t>
      </w:r>
      <w:r>
        <w:rPr>
          <w:color w:val="231F20"/>
          <w:spacing w:val="0"/>
          <w:sz w:val="22"/>
        </w:rPr>
        <w:t>例</w:t>
      </w:r>
      <w:r>
        <w:rPr>
          <w:color w:val="231F20"/>
          <w:sz w:val="22"/>
        </w:rPr>
        <w:t>}% 向 {地接社名称}支付违约金，违约金不足以弥补实际损失的，按实际损失赔偿。</w:t>
      </w:r>
    </w:p>
    <w:p>
      <w:pPr>
        <w:spacing w:after="0" w:line="319" w:lineRule="auto"/>
        <w:jc w:val="both"/>
        <w:rPr>
          <w:sz w:val="22"/>
        </w:rPr>
        <w:sectPr>
          <w:pgSz w:w="11910" w:h="16840"/>
          <w:pgMar w:header="0" w:footer="832" w:top="1580" w:bottom="1020" w:left="1300" w:right="1260"/>
        </w:sectPr>
      </w:pPr>
    </w:p>
    <w:p>
      <w:pPr>
        <w:pStyle w:val="ListParagraph"/>
        <w:numPr>
          <w:ilvl w:val="0"/>
          <w:numId w:val="11"/>
        </w:numPr>
        <w:tabs>
          <w:tab w:pos="816" w:val="left" w:leader="none"/>
        </w:tabs>
        <w:spacing w:line="240" w:lineRule="auto" w:before="24" w:after="0"/>
        <w:ind w:left="815" w:right="0" w:hanging="218"/>
        <w:jc w:val="left"/>
        <w:rPr>
          <w:sz w:val="22"/>
        </w:rPr>
      </w:pPr>
      <w:r>
        <w:rPr>
          <w:color w:val="231F20"/>
          <w:sz w:val="22"/>
        </w:rPr>
        <w:t>组团社因如下情形造成地接社经济损失的，应按实际损失向地接社承担违约责任：</w:t>
      </w:r>
    </w:p>
    <w:p>
      <w:pPr>
        <w:pStyle w:val="BodyText"/>
        <w:ind w:left="487"/>
      </w:pPr>
      <w:r>
        <w:rPr>
          <w:color w:val="231F20"/>
        </w:rPr>
        <w:t>{接待要求}、{标准}等信息说明不明确或者错误；</w:t>
      </w:r>
    </w:p>
    <w:p>
      <w:pPr>
        <w:pStyle w:val="BodyText"/>
        <w:ind w:left="487"/>
      </w:pPr>
      <w:r>
        <w:rPr>
          <w:color w:val="231F20"/>
        </w:rPr>
        <w:t>{未对地接社完成接待服务予以必要协助}</w:t>
      </w:r>
    </w:p>
    <w:p>
      <w:pPr>
        <w:pStyle w:val="ListParagraph"/>
        <w:numPr>
          <w:ilvl w:val="0"/>
          <w:numId w:val="11"/>
        </w:numPr>
        <w:tabs>
          <w:tab w:pos="816" w:val="left" w:leader="none"/>
          <w:tab w:pos="6314" w:val="left" w:leader="none"/>
        </w:tabs>
        <w:spacing w:line="319" w:lineRule="auto" w:before="109" w:after="0"/>
        <w:ind w:left="157" w:right="211" w:firstLine="440"/>
        <w:jc w:val="both"/>
        <w:rPr>
          <w:sz w:val="22"/>
        </w:rPr>
      </w:pPr>
      <w:r>
        <w:rPr>
          <w:color w:val="231F20"/>
          <w:sz w:val="22"/>
        </w:rPr>
        <w:t>地接社未经组团社书面同意，将组团社组织的旅游者与其他旅游者合并接待，或者转交任何第三方接待，地接社应向组团社支付当团接待费用</w:t>
      </w:r>
      <w:r>
        <w:rPr>
          <w:color w:val="231F20"/>
          <w:sz w:val="22"/>
          <w:u w:val="single" w:color="231F20"/>
        </w:rPr>
        <w:t xml:space="preserve"> {</w:t>
      </w:r>
      <w:r>
        <w:rPr>
          <w:color w:val="231F20"/>
          <w:sz w:val="22"/>
        </w:rPr>
        <w:t>违</w:t>
      </w:r>
      <w:r>
        <w:rPr>
          <w:color w:val="231F20"/>
          <w:spacing w:val="32"/>
          <w:sz w:val="22"/>
        </w:rPr>
        <w:t>约</w:t>
      </w:r>
      <w:r>
        <w:rPr>
          <w:color w:val="231F20"/>
          <w:sz w:val="22"/>
        </w:rPr>
        <w:t>金比例} % 的违约金，违约金不足以弥补实际损失的，按实际损失赔偿。</w:t>
      </w:r>
    </w:p>
    <w:p>
      <w:pPr>
        <w:pStyle w:val="ListParagraph"/>
        <w:numPr>
          <w:ilvl w:val="0"/>
          <w:numId w:val="11"/>
        </w:numPr>
        <w:tabs>
          <w:tab w:pos="816" w:val="left" w:leader="none"/>
          <w:tab w:pos="1967" w:val="left" w:leader="none"/>
        </w:tabs>
        <w:spacing w:line="319" w:lineRule="auto" w:before="25" w:after="0"/>
        <w:ind w:left="157" w:right="210" w:firstLine="440"/>
        <w:jc w:val="left"/>
        <w:rPr>
          <w:sz w:val="22"/>
        </w:rPr>
      </w:pPr>
      <w:r>
        <w:rPr>
          <w:color w:val="231F20"/>
          <w:sz w:val="22"/>
        </w:rPr>
        <w:t>地接社未按合同约定选择合格且具有相应接待能力的{供应商}，地接社应向组团社支付当团接待</w:t>
      </w:r>
      <w:r>
        <w:rPr>
          <w:color w:val="231F20"/>
          <w:sz w:val="22"/>
          <w:u w:val="single" w:color="231F20"/>
        </w:rPr>
        <w:t>费用</w:t>
      </w:r>
      <w:r>
        <w:rPr>
          <w:color w:val="231F20"/>
          <w:sz w:val="22"/>
        </w:rPr>
        <w:t>{百分比}% 的违约金，违约金不足以弥补实际损失的，按实际损失赔偿。</w:t>
      </w:r>
    </w:p>
    <w:p>
      <w:pPr>
        <w:pStyle w:val="ListParagraph"/>
        <w:numPr>
          <w:ilvl w:val="0"/>
          <w:numId w:val="11"/>
        </w:numPr>
        <w:tabs>
          <w:tab w:pos="816" w:val="left" w:leader="none"/>
          <w:tab w:pos="1087" w:val="left" w:leader="none"/>
        </w:tabs>
        <w:spacing w:line="319" w:lineRule="auto" w:before="25" w:after="0"/>
        <w:ind w:left="157" w:right="210" w:firstLine="440"/>
        <w:jc w:val="left"/>
        <w:rPr>
          <w:sz w:val="22"/>
        </w:rPr>
      </w:pPr>
      <w:r>
        <w:rPr>
          <w:color w:val="231F20"/>
          <w:sz w:val="22"/>
        </w:rPr>
        <w:t>因地接社违法违规行为导致组团社受到行政处罚的，地接社应向组团社支付当团接待费用</w:t>
      </w:r>
      <w:r>
        <w:rPr>
          <w:color w:val="231F20"/>
          <w:sz w:val="22"/>
          <w:u w:val="single" w:color="231F20"/>
        </w:rPr>
        <w:t xml:space="preserve"> {</w:t>
      </w:r>
      <w:r>
        <w:rPr>
          <w:color w:val="231F20"/>
          <w:sz w:val="22"/>
        </w:rPr>
        <w:t>违约金比例}% 的违约金，违约金不足以弥补实际损失的，按实际损失赔偿。</w:t>
      </w:r>
    </w:p>
    <w:p>
      <w:pPr>
        <w:pStyle w:val="ListParagraph"/>
        <w:numPr>
          <w:ilvl w:val="0"/>
          <w:numId w:val="11"/>
        </w:numPr>
        <w:tabs>
          <w:tab w:pos="816" w:val="left" w:leader="none"/>
        </w:tabs>
        <w:spacing w:line="319" w:lineRule="auto" w:before="25" w:after="0"/>
        <w:ind w:left="157" w:right="212" w:firstLine="440"/>
        <w:jc w:val="left"/>
        <w:rPr>
          <w:sz w:val="22"/>
        </w:rPr>
      </w:pPr>
      <w:r>
        <w:rPr>
          <w:color w:val="231F20"/>
          <w:sz w:val="22"/>
        </w:rPr>
        <w:t>地接社未能在当地解决旅游者提出的投诉，又未及时书面通知组团社的，地接社应就造成的损失承担赔偿责任。</w:t>
      </w:r>
    </w:p>
    <w:p>
      <w:pPr>
        <w:pStyle w:val="ListParagraph"/>
        <w:numPr>
          <w:ilvl w:val="0"/>
          <w:numId w:val="11"/>
        </w:numPr>
        <w:tabs>
          <w:tab w:pos="816" w:val="left" w:leader="none"/>
        </w:tabs>
        <w:spacing w:line="319" w:lineRule="auto" w:before="25" w:after="0"/>
        <w:ind w:left="157" w:right="210" w:firstLine="440"/>
        <w:jc w:val="left"/>
        <w:rPr>
          <w:sz w:val="22"/>
        </w:rPr>
      </w:pPr>
      <w:r>
        <w:rPr>
          <w:color w:val="231F20"/>
          <w:sz w:val="22"/>
        </w:rPr>
        <w:t>组团社和地接社双方或者任何一方未积极采取补救措施防止损失扩大，在各自责任范围内就扩大的损失承担赔偿责任。</w:t>
      </w:r>
    </w:p>
    <w:p>
      <w:pPr>
        <w:pStyle w:val="ListParagraph"/>
        <w:numPr>
          <w:ilvl w:val="0"/>
          <w:numId w:val="11"/>
        </w:numPr>
        <w:tabs>
          <w:tab w:pos="816" w:val="left" w:leader="none"/>
          <w:tab w:pos="2133" w:val="left" w:leader="none"/>
        </w:tabs>
        <w:spacing w:line="319" w:lineRule="auto" w:before="25" w:after="0"/>
        <w:ind w:left="157" w:right="210" w:firstLine="440"/>
        <w:jc w:val="left"/>
        <w:rPr>
          <w:sz w:val="22"/>
        </w:rPr>
      </w:pPr>
      <w:r>
        <w:rPr>
          <w:color w:val="231F20"/>
          <w:sz w:val="22"/>
        </w:rPr>
        <w:t>组团社和地接社任何一方泄露在经营活动中获取的商业秘密，违约一方应向另一方支付当团接待费用</w:t>
      </w:r>
      <w:r>
        <w:rPr>
          <w:color w:val="231F20"/>
          <w:sz w:val="22"/>
          <w:u w:val="single" w:color="231F20"/>
        </w:rPr>
        <w:t xml:space="preserve"> {</w:t>
      </w:r>
      <w:r>
        <w:rPr>
          <w:color w:val="231F20"/>
          <w:sz w:val="22"/>
        </w:rPr>
        <w:t>违约金比例} % 的违约金，违约金不足以弥补实际损失的，按实际损失赔偿。</w:t>
      </w:r>
    </w:p>
    <w:p>
      <w:pPr>
        <w:tabs>
          <w:tab w:pos="1697" w:val="left" w:leader="none"/>
        </w:tabs>
        <w:spacing w:before="19"/>
        <w:ind w:left="597" w:right="0" w:firstLine="0"/>
        <w:jc w:val="left"/>
        <w:rPr>
          <w:sz w:val="22"/>
        </w:rPr>
      </w:pPr>
      <w:r>
        <w:rPr>
          <w:rFonts w:ascii="方正黑体_GBK" w:eastAsia="方正黑体_GBK" w:hint="eastAsia"/>
          <w:i/>
          <w:color w:val="231F20"/>
          <w:sz w:val="22"/>
        </w:rPr>
        <w:t>第十二条</w:t>
        <w:tab/>
      </w:r>
      <w:r>
        <w:rPr>
          <w:color w:val="231F20"/>
          <w:sz w:val="22"/>
        </w:rPr>
        <w:t>合同解除</w:t>
      </w:r>
    </w:p>
    <w:p>
      <w:pPr>
        <w:pStyle w:val="ListParagraph"/>
        <w:numPr>
          <w:ilvl w:val="0"/>
          <w:numId w:val="12"/>
        </w:numPr>
        <w:tabs>
          <w:tab w:pos="816" w:val="left" w:leader="none"/>
          <w:tab w:pos="3508" w:val="left" w:leader="none"/>
        </w:tabs>
        <w:spacing w:line="319" w:lineRule="auto" w:before="109" w:after="0"/>
        <w:ind w:left="157" w:right="215" w:firstLine="440"/>
        <w:jc w:val="left"/>
        <w:rPr>
          <w:sz w:val="22"/>
        </w:rPr>
      </w:pPr>
      <w:r>
        <w:rPr>
          <w:color w:val="231F20"/>
          <w:sz w:val="22"/>
        </w:rPr>
        <w:t>组团社超出约定付款期限</w:t>
      </w:r>
      <w:r>
        <w:rPr>
          <w:color w:val="231F20"/>
          <w:sz w:val="22"/>
          <w:u w:val="single" w:color="231F20"/>
        </w:rPr>
        <w:t xml:space="preserve"> </w:t>
        <w:tab/>
      </w:r>
      <w:r>
        <w:rPr>
          <w:color w:val="231F20"/>
          <w:sz w:val="22"/>
        </w:rPr>
        <w:t>{逾期天数} 日以上未支付接待费用的，地接社有权解除合同，并要求组团社承担相应的赔偿责任。</w:t>
      </w:r>
    </w:p>
    <w:p>
      <w:pPr>
        <w:pStyle w:val="ListParagraph"/>
        <w:numPr>
          <w:ilvl w:val="0"/>
          <w:numId w:val="12"/>
        </w:numPr>
        <w:tabs>
          <w:tab w:pos="816" w:val="left" w:leader="none"/>
          <w:tab w:pos="8622" w:val="left" w:leader="none"/>
        </w:tabs>
        <w:spacing w:line="319" w:lineRule="auto" w:before="25" w:after="0"/>
        <w:ind w:left="157" w:right="215" w:firstLine="440"/>
        <w:jc w:val="left"/>
        <w:rPr>
          <w:sz w:val="22"/>
        </w:rPr>
      </w:pPr>
      <w:r>
        <w:rPr>
          <w:color w:val="231F20"/>
          <w:sz w:val="22"/>
        </w:rPr>
        <w:t>地接社接待服务质量未达到本合同第七条</w:t>
      </w:r>
      <w:r>
        <w:rPr>
          <w:color w:val="231F20"/>
          <w:spacing w:val="-55"/>
          <w:sz w:val="22"/>
        </w:rPr>
        <w:t>第</w:t>
      </w:r>
      <w:r>
        <w:rPr>
          <w:color w:val="231F20"/>
          <w:sz w:val="22"/>
        </w:rPr>
        <w:t>（二</w:t>
      </w:r>
      <w:r>
        <w:rPr>
          <w:color w:val="231F20"/>
          <w:spacing w:val="-55"/>
          <w:sz w:val="22"/>
        </w:rPr>
        <w:t>）</w:t>
      </w:r>
      <w:r>
        <w:rPr>
          <w:color w:val="231F20"/>
          <w:sz w:val="22"/>
        </w:rPr>
        <w:t>款第</w:t>
      </w:r>
      <w:r>
        <w:rPr>
          <w:color w:val="231F20"/>
          <w:spacing w:val="-1"/>
          <w:sz w:val="22"/>
        </w:rPr>
        <w:t xml:space="preserve"> </w:t>
      </w:r>
      <w:r>
        <w:rPr>
          <w:color w:val="231F20"/>
          <w:sz w:val="22"/>
        </w:rPr>
        <w:t>4</w:t>
      </w:r>
      <w:r>
        <w:rPr>
          <w:color w:val="231F20"/>
          <w:spacing w:val="-1"/>
          <w:sz w:val="22"/>
        </w:rPr>
        <w:t xml:space="preserve"> </w:t>
      </w:r>
      <w:r>
        <w:rPr>
          <w:color w:val="231F20"/>
          <w:sz w:val="22"/>
        </w:rPr>
        <w:t>项约定的达标标准</w:t>
      </w:r>
      <w:r>
        <w:rPr>
          <w:color w:val="231F20"/>
          <w:sz w:val="22"/>
          <w:u w:val="single" w:color="231F20"/>
        </w:rPr>
        <w:t xml:space="preserve"> {</w:t>
      </w:r>
      <w:r>
        <w:rPr>
          <w:color w:val="231F20"/>
          <w:spacing w:val="-55"/>
          <w:sz w:val="22"/>
        </w:rPr>
        <w:t>次</w:t>
      </w:r>
      <w:r>
        <w:rPr>
          <w:color w:val="231F20"/>
          <w:sz w:val="22"/>
        </w:rPr>
        <w:t>数} 次（含本数）以上的，组团社有权解除合同，并要求地接社承担相应的赔偿责任。</w:t>
      </w:r>
    </w:p>
    <w:p>
      <w:pPr>
        <w:pStyle w:val="ListParagraph"/>
        <w:numPr>
          <w:ilvl w:val="0"/>
          <w:numId w:val="12"/>
        </w:numPr>
        <w:tabs>
          <w:tab w:pos="827" w:val="left" w:leader="none"/>
          <w:tab w:pos="6808" w:val="left" w:leader="none"/>
        </w:tabs>
        <w:spacing w:line="319" w:lineRule="auto" w:before="25" w:after="0"/>
        <w:ind w:left="157" w:right="215" w:firstLine="440"/>
        <w:jc w:val="left"/>
        <w:rPr>
          <w:sz w:val="22"/>
        </w:rPr>
      </w:pPr>
      <w:r>
        <w:rPr>
          <w:color w:val="231F20"/>
          <w:sz w:val="22"/>
        </w:rPr>
        <w:t>因{地接社原因}引发旅游者有责投诉、仲裁或者民事</w:t>
      </w:r>
      <w:r>
        <w:rPr>
          <w:color w:val="231F20"/>
          <w:sz w:val="22"/>
          <w:u w:val="single" w:color="231F20"/>
        </w:rPr>
        <w:t>诉讼</w:t>
      </w:r>
      <w:r>
        <w:rPr>
          <w:color w:val="231F20"/>
          <w:sz w:val="22"/>
        </w:rPr>
        <w:t>{次数}（含本数）以上，组团社有权解除合同，并要求地接社承担相应的赔偿责任。</w:t>
      </w:r>
    </w:p>
    <w:p>
      <w:pPr>
        <w:pStyle w:val="ListParagraph"/>
        <w:numPr>
          <w:ilvl w:val="0"/>
          <w:numId w:val="12"/>
        </w:numPr>
        <w:tabs>
          <w:tab w:pos="823" w:val="left" w:leader="none"/>
          <w:tab w:pos="1253" w:val="left" w:leader="none"/>
        </w:tabs>
        <w:spacing w:line="319" w:lineRule="auto" w:before="25" w:after="0"/>
        <w:ind w:left="157" w:right="189" w:firstLine="440"/>
        <w:jc w:val="left"/>
        <w:rPr>
          <w:sz w:val="22"/>
        </w:rPr>
      </w:pPr>
      <w:r>
        <w:rPr>
          <w:color w:val="231F20"/>
          <w:spacing w:val="26"/>
          <w:sz w:val="22"/>
        </w:rPr>
        <w:t>因地接社违约给组团社或者旅游者造成经济损</w:t>
      </w:r>
      <w:r>
        <w:rPr>
          <w:color w:val="231F20"/>
          <w:sz w:val="22"/>
        </w:rPr>
        <w:t>失</w:t>
      </w:r>
      <w:r>
        <w:rPr>
          <w:color w:val="231F20"/>
          <w:spacing w:val="26"/>
          <w:sz w:val="22"/>
        </w:rPr>
        <w:t>，地接社拒不改正或者拒绝赔</w:t>
      </w:r>
      <w:r>
        <w:rPr>
          <w:color w:val="231F20"/>
          <w:sz w:val="22"/>
        </w:rPr>
        <w:t>偿</w:t>
      </w:r>
      <w:r>
        <w:rPr>
          <w:color w:val="231F20"/>
          <w:sz w:val="22"/>
          <w:u w:val="single" w:color="231F20"/>
        </w:rPr>
        <w:t>{次</w:t>
      </w:r>
      <w:r>
        <w:rPr>
          <w:color w:val="231F20"/>
          <w:sz w:val="22"/>
        </w:rPr>
        <w:t>数}次（含本数）以上，组团社有权解除合同，并要求地接社承担相应的赔偿责任。</w:t>
      </w:r>
    </w:p>
    <w:p>
      <w:pPr>
        <w:pStyle w:val="ListParagraph"/>
        <w:numPr>
          <w:ilvl w:val="0"/>
          <w:numId w:val="12"/>
        </w:numPr>
        <w:tabs>
          <w:tab w:pos="816" w:val="left" w:leader="none"/>
          <w:tab w:pos="9118" w:val="left" w:leader="none"/>
        </w:tabs>
        <w:spacing w:line="240" w:lineRule="auto" w:before="25" w:after="0"/>
        <w:ind w:left="157" w:right="0" w:firstLine="440"/>
        <w:jc w:val="left"/>
        <w:rPr>
          <w:sz w:val="22"/>
        </w:rPr>
      </w:pPr>
      <w:r>
        <w:rPr>
          <w:color w:val="231F20"/>
          <w:sz w:val="22"/>
        </w:rPr>
        <w:t>双方约定合同解除的其他情形</w:t>
      </w:r>
      <w:r>
        <w:rPr>
          <w:color w:val="231F20"/>
          <w:sz w:val="22"/>
          <w:u w:val="single" w:color="231F20"/>
        </w:rPr>
        <w:t>：</w:t>
        <w:tab/>
      </w:r>
      <w:r>
        <w:rPr>
          <w:color w:val="231F20"/>
          <w:sz w:val="22"/>
        </w:rPr>
        <w:t>{其他情形}。</w:t>
      </w:r>
    </w:p>
    <w:p>
      <w:pPr>
        <w:tabs>
          <w:tab w:pos="1697" w:val="left" w:leader="none"/>
        </w:tabs>
        <w:spacing w:before="103"/>
        <w:ind w:left="597" w:right="0" w:firstLine="0"/>
        <w:jc w:val="left"/>
        <w:rPr>
          <w:sz w:val="22"/>
        </w:rPr>
      </w:pPr>
      <w:r>
        <w:rPr>
          <w:rFonts w:ascii="方正黑体_GBK" w:eastAsia="方正黑体_GBK" w:hint="eastAsia"/>
          <w:i/>
          <w:color w:val="231F20"/>
          <w:sz w:val="22"/>
        </w:rPr>
        <w:t>第十三条</w:t>
        <w:tab/>
      </w:r>
      <w:r>
        <w:rPr>
          <w:color w:val="231F20"/>
          <w:sz w:val="22"/>
        </w:rPr>
        <w:t>争议解决</w:t>
      </w:r>
    </w:p>
    <w:p>
      <w:pPr>
        <w:pStyle w:val="BodyText"/>
        <w:tabs>
          <w:tab w:pos="1199" w:val="left" w:leader="none"/>
        </w:tabs>
        <w:spacing w:line="319" w:lineRule="auto"/>
        <w:ind w:left="157" w:right="215" w:firstLine="440"/>
      </w:pPr>
      <w:r>
        <w:rPr>
          <w:color w:val="231F20"/>
          <w:spacing w:val="30"/>
        </w:rPr>
        <w:t>组团社和地接社因单团接待业务引发的争</w:t>
      </w:r>
      <w:r>
        <w:rPr>
          <w:color w:val="231F20"/>
        </w:rPr>
        <w:t>议，</w:t>
      </w:r>
      <w:r>
        <w:rPr>
          <w:color w:val="231F20"/>
          <w:spacing w:val="-25"/>
        </w:rPr>
        <w:t>可</w:t>
      </w:r>
      <w:r>
        <w:rPr>
          <w:color w:val="231F20"/>
          <w:spacing w:val="30"/>
        </w:rPr>
        <w:t>协商解决</w:t>
      </w:r>
      <w:r>
        <w:rPr>
          <w:color w:val="231F20"/>
        </w:rPr>
        <w:t>，协</w:t>
      </w:r>
      <w:r>
        <w:rPr>
          <w:color w:val="231F20"/>
          <w:spacing w:val="-25"/>
        </w:rPr>
        <w:t>商</w:t>
      </w:r>
      <w:r>
        <w:rPr>
          <w:color w:val="231F20"/>
          <w:spacing w:val="30"/>
        </w:rPr>
        <w:t>不成的，</w:t>
      </w:r>
      <w:r>
        <w:rPr>
          <w:color w:val="231F20"/>
        </w:rPr>
        <w:t>按下</w:t>
      </w:r>
      <w:r>
        <w:rPr>
          <w:color w:val="231F20"/>
          <w:spacing w:val="-25"/>
        </w:rPr>
        <w:t>列</w:t>
      </w:r>
      <w:r>
        <w:rPr>
          <w:color w:val="231F20"/>
          <w:spacing w:val="30"/>
        </w:rPr>
        <w:t>第{</w:t>
      </w:r>
      <w:r>
        <w:rPr>
          <w:color w:val="231F20"/>
        </w:rPr>
        <w:t>选择</w:t>
      </w:r>
      <w:r>
        <w:rPr>
          <w:color w:val="231F20"/>
          <w:u w:val="single" w:color="231F20"/>
        </w:rPr>
        <w:t>方式</w:t>
      </w:r>
      <w:r>
        <w:rPr>
          <w:color w:val="231F20"/>
        </w:rPr>
        <w:t>}种方式解决（选择一</w:t>
      </w:r>
      <w:r>
        <w:rPr>
          <w:color w:val="231F20"/>
          <w:spacing w:val="-28"/>
        </w:rPr>
        <w:t>种）：</w:t>
      </w:r>
    </w:p>
    <w:p>
      <w:pPr>
        <w:pStyle w:val="ListParagraph"/>
        <w:numPr>
          <w:ilvl w:val="0"/>
          <w:numId w:val="13"/>
        </w:numPr>
        <w:tabs>
          <w:tab w:pos="816" w:val="left" w:leader="none"/>
          <w:tab w:pos="9168" w:val="left" w:leader="none"/>
        </w:tabs>
        <w:spacing w:line="240" w:lineRule="auto" w:before="25" w:after="0"/>
        <w:ind w:left="815" w:right="0" w:hanging="218"/>
        <w:jc w:val="left"/>
        <w:rPr>
          <w:rFonts w:ascii="Times New Roman" w:eastAsia="Times New Roman"/>
          <w:sz w:val="22"/>
        </w:rPr>
      </w:pPr>
      <w:r>
        <w:rPr>
          <w:color w:val="231F20"/>
          <w:spacing w:val="-1"/>
          <w:sz w:val="22"/>
        </w:rPr>
        <w:t>提</w:t>
      </w:r>
      <w:r>
        <w:rPr>
          <w:color w:val="231F20"/>
          <w:sz w:val="22"/>
        </w:rPr>
        <w:t>交仲裁，双方约定仲裁委员会为</w:t>
      </w:r>
      <w:r>
        <w:rPr>
          <w:rFonts w:ascii="Times New Roman" w:eastAsia="Times New Roman"/>
          <w:color w:val="231F20"/>
          <w:sz w:val="22"/>
          <w:u w:val="single" w:color="231F20"/>
        </w:rPr>
        <w:t xml:space="preserve">   {仲裁委员会名称}  </w:t>
      </w:r>
    </w:p>
    <w:p>
      <w:pPr>
        <w:pStyle w:val="BodyText"/>
        <w:ind w:left="101"/>
      </w:pPr>
      <w:r>
        <w:rPr>
          <w:color w:val="231F20"/>
        </w:rPr>
        <w:t>（标明仲裁委员会所属地区和名称）；</w:t>
      </w:r>
    </w:p>
    <w:p>
      <w:pPr>
        <w:pStyle w:val="BodyText"/>
        <w:spacing w:line="20" w:lineRule="exact" w:before="0"/>
        <w:ind w:left="157"/>
        <w:rPr>
          <w:sz w:val="2"/>
        </w:rPr>
      </w:pPr>
      <w:r>
        <w:rPr>
          <w:sz w:val="2"/>
        </w:rPr>
        <w:pict>
          <v:group style="width:2.75pt;height:.3pt;mso-position-horizontal-relative:char;mso-position-vertical-relative:line" coordorigin="0,0" coordsize="55,6">
            <v:line style="position:absolute" from="0,3" to="54,3" stroked="true" strokeweight=".283pt" strokecolor="#231f20">
              <v:stroke dashstyle="solid"/>
            </v:line>
          </v:group>
        </w:pict>
      </w:r>
      <w:r>
        <w:rPr>
          <w:sz w:val="2"/>
        </w:rPr>
      </w:r>
    </w:p>
    <w:p>
      <w:pPr>
        <w:spacing w:after="0" w:line="20" w:lineRule="exact"/>
        <w:rPr>
          <w:sz w:val="2"/>
        </w:rPr>
        <w:sectPr>
          <w:pgSz w:w="11910" w:h="16840"/>
          <w:pgMar w:header="0" w:footer="832" w:top="1580" w:bottom="1020" w:left="1260" w:right="1200"/>
        </w:sectPr>
      </w:pPr>
    </w:p>
    <w:p>
      <w:pPr>
        <w:pStyle w:val="ListParagraph"/>
        <w:numPr>
          <w:ilvl w:val="0"/>
          <w:numId w:val="13"/>
        </w:numPr>
        <w:tabs>
          <w:tab w:pos="876" w:val="left" w:leader="none"/>
          <w:tab w:pos="9340" w:val="left" w:leader="none"/>
        </w:tabs>
        <w:spacing w:line="240" w:lineRule="auto" w:before="24" w:after="0"/>
        <w:ind w:left="875" w:right="0" w:hanging="218"/>
        <w:jc w:val="left"/>
        <w:rPr>
          <w:rFonts w:ascii="Times New Roman" w:eastAsia="Times New Roman"/>
          <w:sz w:val="22"/>
        </w:rPr>
      </w:pPr>
      <w:r>
        <w:rPr>
          <w:color w:val="231F20"/>
          <w:spacing w:val="-1"/>
          <w:sz w:val="22"/>
        </w:rPr>
        <w:t>提</w:t>
      </w:r>
      <w:r>
        <w:rPr>
          <w:color w:val="231F20"/>
          <w:sz w:val="22"/>
        </w:rPr>
        <w:t>起民事诉讼，双方约定诉讼管辖地为</w:t>
      </w:r>
      <w:r>
        <w:rPr>
          <w:rFonts w:ascii="Times New Roman" w:eastAsia="Times New Roman"/>
          <w:color w:val="231F20"/>
          <w:sz w:val="22"/>
          <w:u w:val="single" w:color="231F20"/>
        </w:rPr>
        <w:t>{诉讼管辖地}。</w:t>
      </w:r>
    </w:p>
    <w:p>
      <w:pPr>
        <w:pStyle w:val="BodyText"/>
        <w:ind w:left="107"/>
      </w:pPr>
      <w:r>
        <w:rPr>
          <w:color w:val="231F20"/>
        </w:rPr>
        <w:t>（限于被告住所地、合同履行地、合同签订地、原告住所地、标的物所在地</w:t>
      </w:r>
      <w:r>
        <w:rPr>
          <w:color w:val="231F20"/>
          <w:spacing w:val="-83"/>
        </w:rPr>
        <w:t>）</w:t>
      </w:r>
      <w:r>
        <w:rPr>
          <w:color w:val="231F20"/>
        </w:rPr>
        <w:t>。</w:t>
      </w:r>
    </w:p>
    <w:p>
      <w:pPr>
        <w:tabs>
          <w:tab w:pos="1757" w:val="left" w:leader="none"/>
        </w:tabs>
        <w:spacing w:before="103"/>
        <w:ind w:left="657" w:right="0" w:firstLine="0"/>
        <w:jc w:val="left"/>
        <w:rPr>
          <w:sz w:val="22"/>
        </w:rPr>
      </w:pPr>
      <w:r>
        <w:rPr>
          <w:rFonts w:ascii="方正黑体_GBK" w:eastAsia="方正黑体_GBK" w:hint="eastAsia"/>
          <w:i/>
          <w:color w:val="231F20"/>
          <w:sz w:val="22"/>
        </w:rPr>
        <w:t>第十四条</w:t>
        <w:tab/>
      </w:r>
      <w:r>
        <w:rPr>
          <w:color w:val="231F20"/>
          <w:sz w:val="22"/>
        </w:rPr>
        <w:t>合同效力与期限</w:t>
      </w:r>
    </w:p>
    <w:p>
      <w:pPr>
        <w:pStyle w:val="ListParagraph"/>
        <w:numPr>
          <w:ilvl w:val="0"/>
          <w:numId w:val="14"/>
        </w:numPr>
        <w:tabs>
          <w:tab w:pos="875" w:val="left" w:leader="none"/>
          <w:tab w:pos="2685" w:val="left" w:leader="none"/>
          <w:tab w:pos="4716" w:val="left" w:leader="none"/>
        </w:tabs>
        <w:spacing w:line="240" w:lineRule="auto" w:before="109" w:after="0"/>
        <w:ind w:left="217" w:right="0" w:firstLine="440"/>
        <w:jc w:val="left"/>
        <w:rPr>
          <w:sz w:val="22"/>
        </w:rPr>
      </w:pPr>
      <w:r>
        <w:rPr>
          <w:color w:val="231F20"/>
          <w:sz w:val="22"/>
        </w:rPr>
        <w:t>本合同一式</w:t>
      </w:r>
      <w:r>
        <w:rPr>
          <w:color w:val="231F20"/>
          <w:sz w:val="22"/>
          <w:u w:val="single" w:color="231F20"/>
        </w:rPr>
        <w:t xml:space="preserve"> {</w:t>
      </w:r>
      <w:r>
        <w:rPr>
          <w:color w:val="231F20"/>
          <w:sz w:val="22"/>
        </w:rPr>
        <w:t>份数} 份，</w:t>
      </w:r>
      <w:r>
        <w:rPr>
          <w:color w:val="231F20"/>
          <w:sz w:val="22"/>
          <w:u w:val="single" w:color="231F20"/>
        </w:rPr>
        <w:t>双方</w:t>
      </w:r>
      <w:r>
        <w:rPr>
          <w:color w:val="231F20"/>
          <w:sz w:val="22"/>
        </w:rPr>
        <w:t>各持 {持有份数} 份，具有同等法律效力。</w:t>
      </w:r>
    </w:p>
    <w:p>
      <w:pPr>
        <w:pStyle w:val="ListParagraph"/>
        <w:numPr>
          <w:ilvl w:val="0"/>
          <w:numId w:val="14"/>
        </w:numPr>
        <w:tabs>
          <w:tab w:pos="877" w:val="left" w:leader="none"/>
          <w:tab w:pos="1367" w:val="left" w:leader="none"/>
          <w:tab w:pos="6598" w:val="left" w:leader="none"/>
        </w:tabs>
        <w:spacing w:line="319" w:lineRule="auto" w:before="109" w:after="0"/>
        <w:ind w:left="217" w:right="149" w:firstLine="440"/>
        <w:jc w:val="left"/>
        <w:rPr>
          <w:sz w:val="22"/>
        </w:rPr>
      </w:pPr>
      <w:r>
        <w:rPr>
          <w:color w:val="231F20"/>
          <w:spacing w:val="2"/>
          <w:sz w:val="22"/>
        </w:rPr>
        <w:t>本合同自双方签字盖章之日起生</w:t>
      </w:r>
      <w:r>
        <w:rPr>
          <w:color w:val="231F20"/>
          <w:sz w:val="22"/>
        </w:rPr>
        <w:t>效</w:t>
      </w:r>
      <w:r>
        <w:rPr>
          <w:color w:val="231F20"/>
          <w:spacing w:val="2"/>
          <w:sz w:val="22"/>
        </w:rPr>
        <w:t>，有效期</w:t>
      </w:r>
      <w:r>
        <w:rPr>
          <w:color w:val="231F20"/>
          <w:sz w:val="22"/>
        </w:rPr>
        <w:t>为</w:t>
      </w:r>
      <w:r>
        <w:rPr>
          <w:color w:val="231F20"/>
          <w:sz w:val="22"/>
          <w:u w:val="single" w:color="231F20"/>
        </w:rPr>
        <w:t xml:space="preserve"> </w:t>
        <w:tab/>
      </w:r>
      <w:r>
        <w:rPr>
          <w:color w:val="231F20"/>
          <w:spacing w:val="2"/>
          <w:sz w:val="22"/>
        </w:rPr>
        <w:t>{有效期}</w:t>
        <w:tab/>
        <w:t xml:space="preserve"> 。一方可于合</w:t>
      </w:r>
      <w:r>
        <w:rPr>
          <w:color w:val="231F20"/>
          <w:sz w:val="22"/>
        </w:rPr>
        <w:t>同</w:t>
      </w:r>
      <w:r>
        <w:rPr>
          <w:color w:val="231F20"/>
          <w:sz w:val="22"/>
          <w:u w:val="single" w:color="231F20"/>
        </w:rPr>
        <w:t>有效</w:t>
      </w:r>
      <w:r>
        <w:rPr>
          <w:color w:val="231F20"/>
          <w:sz w:val="22"/>
        </w:rPr>
        <w:t xml:space="preserve">期届满 前 </w:t>
        <w:tab/>
        <w:t>{续签通知提前天数}</w:t>
        <w:tab/>
        <w:t xml:space="preserve"> 日向另一方书面提出续签合同。</w:t>
      </w:r>
    </w:p>
    <w:p>
      <w:pPr>
        <w:pStyle w:val="ListParagraph"/>
        <w:numPr>
          <w:ilvl w:val="0"/>
          <w:numId w:val="14"/>
        </w:numPr>
        <w:tabs>
          <w:tab w:pos="876" w:val="left" w:leader="none"/>
        </w:tabs>
        <w:spacing w:line="240" w:lineRule="auto" w:before="26" w:after="0"/>
        <w:ind w:left="875" w:right="0" w:hanging="218"/>
        <w:jc w:val="left"/>
        <w:rPr>
          <w:sz w:val="22"/>
        </w:rPr>
      </w:pPr>
      <w:r>
        <w:rPr>
          <w:color w:val="231F20"/>
          <w:sz w:val="22"/>
        </w:rPr>
        <w:t>本合同终止或者解除时，双方在合同有效期内已确认的接待计划应当继续履行。</w:t>
      </w:r>
    </w:p>
    <w:p>
      <w:pPr>
        <w:pStyle w:val="BodyText"/>
        <w:spacing w:before="0"/>
        <w:rPr>
          <w:sz w:val="24"/>
        </w:rPr>
      </w:pPr>
    </w:p>
    <w:p>
      <w:pPr>
        <w:pStyle w:val="BodyText"/>
        <w:tabs>
          <w:tab w:pos="4537" w:val="left" w:leader="none"/>
        </w:tabs>
        <w:spacing w:before="188"/>
        <w:ind w:left="657"/>
      </w:pPr>
      <w:r>
        <w:rPr>
          <w:color w:val="231F20"/>
        </w:rPr>
        <w:t>组团社签章：{组团社签章}</w:t>
        <w:tab/>
        <w:t>地接社签章：{地接社签章}</w:t>
      </w:r>
    </w:p>
    <w:p>
      <w:pPr>
        <w:pStyle w:val="BodyText"/>
        <w:tabs>
          <w:tab w:pos="4537" w:val="left" w:leader="none"/>
        </w:tabs>
        <w:spacing w:before="108"/>
        <w:ind w:left="657"/>
      </w:pPr>
      <w:r>
        <w:rPr>
          <w:color w:val="231F20"/>
        </w:rPr>
        <w:t>签约时间：{签约时间}</w:t>
      </w:r>
    </w:p>
    <w:p>
      <w:pPr>
        <w:pStyle w:val="BodyText"/>
        <w:tabs>
          <w:tab w:pos="4537" w:val="left" w:leader="none"/>
        </w:tabs>
        <w:spacing w:before="108"/>
        <w:ind w:left="657"/>
      </w:pPr>
      <w:r>
        <w:rPr>
          <w:color w:val="231F20"/>
        </w:rPr>
        <w:t>签约地点：{签约地点}</w:t>
      </w:r>
    </w:p>
    <w:p>
      <w:pPr>
        <w:spacing w:after="0"/>
        <w:sectPr>
          <w:pgSz w:w="11910" w:h="16840"/>
          <w:pgMar w:header="0" w:footer="832" w:top="1580" w:bottom="1020" w:left="1200" w:right="1260"/>
        </w:sectPr>
      </w:pPr>
    </w:p>
    <w:p>
      <w:pPr>
        <w:pStyle w:val="BodyText"/>
        <w:spacing w:before="0"/>
        <w:rPr>
          <w:sz w:val="20"/>
        </w:rPr>
      </w:pPr>
      <w:r>
        <w:rPr/>
        <w:pict>
          <v:shape style="position:absolute;margin-left:767.999634pt;margin-top:69.866096pt;width:14.4pt;height:32.9pt;mso-position-horizontal-relative:page;mso-position-vertical-relative:page;z-index:1360" type="#_x0000_t202" filled="false" stroked="false">
            <v:textbox inset="0,0,0,0" style="layout-flow:vertical">
              <w:txbxContent>
                <w:p>
                  <w:pPr>
                    <w:spacing w:line="267" w:lineRule="exact" w:before="0"/>
                    <w:ind w:left="20" w:right="0" w:firstLine="0"/>
                    <w:jc w:val="left"/>
                    <w:rPr>
                      <w:rFonts w:ascii="方正黑体_GBK" w:eastAsia="方正黑体_GBK" w:hint="eastAsia"/>
                      <w:i/>
                      <w:sz w:val="22"/>
                    </w:rPr>
                  </w:pPr>
                  <w:r>
                    <w:rPr>
                      <w:rFonts w:ascii="方正黑体_GBK" w:eastAsia="方正黑体_GBK" w:hint="eastAsia"/>
                      <w:i/>
                      <w:color w:val="231F20"/>
                      <w:spacing w:val="-3"/>
                      <w:sz w:val="22"/>
                    </w:rPr>
                    <w:t>附件 </w:t>
                  </w:r>
                  <w:r>
                    <w:rPr>
                      <w:rFonts w:ascii="方正黑体_GBK" w:eastAsia="方正黑体_GBK" w:hint="eastAsia"/>
                      <w:i/>
                      <w:color w:val="231F20"/>
                      <w:sz w:val="22"/>
                    </w:rPr>
                    <w:t>5</w:t>
                  </w:r>
                </w:p>
              </w:txbxContent>
            </v:textbox>
            <w10:wrap type="none"/>
          </v:shape>
        </w:pict>
      </w:r>
      <w:r>
        <w:rPr/>
        <w:pict>
          <v:shape style="position:absolute;margin-left:39.550014pt;margin-top:518.409424pt;width:13.1pt;height:7pt;mso-position-horizontal-relative:page;mso-position-vertical-relative:page;z-index:1384"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9</w:t>
                  </w:r>
                </w:p>
              </w:txbxContent>
            </v:textbox>
            <w10:wrap type="none"/>
          </v:shape>
        </w:pict>
      </w:r>
    </w:p>
    <w:p>
      <w:pPr>
        <w:pStyle w:val="BodyText"/>
        <w:spacing w:before="0"/>
        <w:rPr>
          <w:sz w:val="20"/>
        </w:rPr>
      </w:pPr>
    </w:p>
    <w:p>
      <w:pPr>
        <w:pStyle w:val="BodyText"/>
        <w:spacing w:before="0"/>
        <w:rPr>
          <w:sz w:val="20"/>
        </w:rPr>
      </w:pPr>
    </w:p>
    <w:p>
      <w:pPr>
        <w:pStyle w:val="BodyText"/>
        <w:spacing w:before="2"/>
        <w:rPr>
          <w:sz w:val="27"/>
        </w:rPr>
      </w:pPr>
    </w:p>
    <w:p>
      <w:pPr>
        <w:spacing w:line="514" w:lineRule="exact" w:before="0"/>
        <w:ind w:left="185" w:right="12" w:firstLine="0"/>
        <w:jc w:val="center"/>
        <w:rPr>
          <w:sz w:val="36"/>
        </w:rPr>
      </w:pPr>
      <w:r>
        <w:rPr>
          <w:color w:val="231F20"/>
          <w:sz w:val="36"/>
        </w:rPr>
        <w:t>《游客安全信息卡》参考样式</w:t>
      </w:r>
    </w:p>
    <w:p>
      <w:pPr>
        <w:tabs>
          <w:tab w:pos="9463" w:val="left" w:leader="none"/>
        </w:tabs>
        <w:spacing w:before="92"/>
        <w:ind w:left="0" w:right="12" w:firstLine="0"/>
        <w:jc w:val="center"/>
        <w:rPr>
          <w:sz w:val="21"/>
        </w:rPr>
      </w:pPr>
      <w:r>
        <w:rPr>
          <w:color w:val="231F20"/>
          <w:sz w:val="21"/>
        </w:rPr>
        <w:t>（正面</w:t>
      </w:r>
      <w:r>
        <w:rPr>
          <w:color w:val="231F20"/>
          <w:spacing w:val="-2"/>
          <w:sz w:val="21"/>
        </w:rPr>
        <w:t xml:space="preserve"> </w:t>
      </w:r>
      <w:r>
        <w:rPr>
          <w:color w:val="231F20"/>
          <w:sz w:val="21"/>
        </w:rPr>
        <w:t>{尺寸}）</w:t>
        <w:tab/>
        <w:t>（背面 {尺寸}</w:t>
      </w:r>
      <w:r>
        <w:rPr>
          <w:color w:val="231F20"/>
          <w:spacing w:val="-9"/>
          <w:sz w:val="21"/>
        </w:rPr>
        <w:t>）</w:t>
      </w:r>
      <w:r>
        <w:rPr>
          <w:color w:val="231F20"/>
          <w:sz w:val="21"/>
        </w:rPr>
      </w:r>
    </w:p>
    <w:p>
      <w:pPr>
        <w:pStyle w:val="BodyText"/>
        <w:spacing w:before="13"/>
        <w:rPr>
          <w:sz w:val="15"/>
        </w:rPr>
      </w:pPr>
      <w:r>
        <w:rPr/>
        <w:pict>
          <v:line style="position:absolute;mso-position-horizontal-relative:page;mso-position-vertical-relative:paragraph;z-index:1048;mso-wrap-distance-left:0;mso-wrap-distance-right:0" from="73.700798pt,14.130857pt" to="299.046798pt,14.130857pt" stroked="true" strokeweight=".5pt" strokecolor="#231f20">
            <v:stroke dashstyle="solid"/>
            <w10:wrap type="topAndBottom"/>
          </v:line>
        </w:pict>
      </w:r>
    </w:p>
    <w:p>
      <w:pPr>
        <w:pStyle w:val="BodyText"/>
        <w:spacing w:line="241" w:lineRule="exact" w:before="0"/>
        <w:ind w:left="312"/>
        <w:rPr>
          <w:sz w:val="20"/>
        </w:rPr>
      </w:pPr>
      <w:r>
        <w:rPr>
          <w:position w:val="-4"/>
          <w:sz w:val="20"/>
        </w:rPr>
        <w:pict>
          <v:shape style="width:95.5pt;height:12.1pt;mso-position-horizontal-relative:char;mso-position-vertical-relative:line" type="#_x0000_t202" filled="false" stroked="false">
            <w10:anchorlock/>
            <v:textbox inset="0,0,0,0">
              <w:txbxContent>
                <w:p>
                  <w:pPr>
                    <w:spacing w:line="241" w:lineRule="exact" w:before="0"/>
                    <w:ind w:left="0" w:right="0" w:firstLine="0"/>
                    <w:jc w:val="left"/>
                    <w:rPr>
                      <w:sz w:val="21"/>
                    </w:rPr>
                  </w:pPr>
                  <w:r>
                    <w:rPr>
                      <w:color w:val="231F20"/>
                      <w:sz w:val="21"/>
                    </w:rPr>
                    <w:t>外出旅游，随身携带</w:t>
                  </w:r>
                </w:p>
              </w:txbxContent>
            </v:textbox>
          </v:shape>
        </w:pict>
      </w:r>
      <w:r>
        <w:rPr>
          <w:position w:val="-4"/>
          <w:sz w:val="20"/>
        </w:rPr>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4"/>
        <w:rPr>
          <w:sz w:val="15"/>
        </w:rPr>
      </w:pPr>
      <w:r>
        <w:rPr/>
        <w:pict>
          <v:shape style="position:absolute;margin-left:109.749702pt;margin-top:12.719656pt;width:158.5pt;height:49.45pt;mso-position-horizontal-relative:page;mso-position-vertical-relative:paragraph;z-index:1096;mso-wrap-distance-left:0;mso-wrap-distance-right:0" type="#_x0000_t202" filled="false" stroked="false">
            <v:textbox inset="0,0,0,0">
              <w:txbxContent>
                <w:p>
                  <w:pPr>
                    <w:spacing w:line="339" w:lineRule="exact" w:before="0"/>
                    <w:ind w:left="454" w:right="0" w:firstLine="0"/>
                    <w:jc w:val="left"/>
                    <w:rPr>
                      <w:sz w:val="32"/>
                    </w:rPr>
                  </w:pPr>
                  <w:r>
                    <w:rPr>
                      <w:color w:val="231F20"/>
                      <w:sz w:val="32"/>
                    </w:rPr>
                    <w:t>游客安全信息卡</w:t>
                  </w:r>
                </w:p>
                <w:p>
                  <w:pPr>
                    <w:spacing w:line="266" w:lineRule="exact" w:before="0"/>
                    <w:ind w:left="561" w:right="0" w:firstLine="0"/>
                    <w:jc w:val="left"/>
                    <w:rPr>
                      <w:sz w:val="21"/>
                    </w:rPr>
                  </w:pPr>
                  <w:r>
                    <w:rPr>
                      <w:color w:val="231F20"/>
                      <w:sz w:val="21"/>
                    </w:rPr>
                    <w:t>Tourist Information Card</w:t>
                  </w:r>
                </w:p>
                <w:p>
                  <w:pPr>
                    <w:spacing w:line="192" w:lineRule="auto" w:before="24"/>
                    <w:ind w:left="1" w:right="19" w:firstLine="0"/>
                    <w:jc w:val="center"/>
                    <w:rPr>
                      <w:sz w:val="15"/>
                    </w:rPr>
                  </w:pPr>
                  <w:r>
                    <w:rPr>
                      <w:color w:val="231F20"/>
                      <w:sz w:val="15"/>
                    </w:rPr>
                    <w:t>（请游客自行填写并根据身体实际选择打钩。 本卡篇幅有限，游客可另纸说明，并随身携带）</w:t>
                  </w:r>
                </w:p>
              </w:txbxContent>
            </v:textbox>
            <w10:wrap type="topAndBottom"/>
          </v:shape>
        </w:pict>
      </w:r>
    </w:p>
    <w:p>
      <w:pPr>
        <w:pStyle w:val="BodyText"/>
        <w:spacing w:before="0"/>
        <w:rPr>
          <w:sz w:val="20"/>
        </w:rPr>
      </w:pPr>
    </w:p>
    <w:p>
      <w:pPr>
        <w:pStyle w:val="BodyText"/>
        <w:spacing w:before="0"/>
        <w:rPr>
          <w:sz w:val="20"/>
        </w:rPr>
      </w:pPr>
    </w:p>
    <w:p>
      <w:pPr>
        <w:pStyle w:val="BodyText"/>
        <w:spacing w:before="14"/>
        <w:rPr>
          <w:sz w:val="24"/>
        </w:rPr>
      </w:pPr>
      <w:r>
        <w:rPr/>
        <w:pict>
          <v:shape style="position:absolute;margin-left:156.999695pt;margin-top:19.968212pt;width:64pt;height:24.7pt;mso-position-horizontal-relative:page;mso-position-vertical-relative:paragraph;z-index:1120;mso-wrap-distance-left:0;mso-wrap-distance-right:0" type="#_x0000_t202" filled="false" stroked="false">
            <v:textbox inset="0,0,0,0">
              <w:txbxContent>
                <w:p>
                  <w:pPr>
                    <w:spacing w:line="192" w:lineRule="auto" w:before="0"/>
                    <w:ind w:left="368" w:right="1" w:hanging="369"/>
                    <w:jc w:val="left"/>
                    <w:rPr>
                      <w:sz w:val="21"/>
                    </w:rPr>
                  </w:pPr>
                  <w:r>
                    <w:rPr>
                      <w:color w:val="231F20"/>
                      <w:sz w:val="21"/>
                    </w:rPr>
                    <w:t>国家旅游局制CNTA</w:t>
                  </w:r>
                </w:p>
              </w:txbxContent>
            </v:textbox>
            <w10:wrap type="topAndBottom"/>
          </v:shape>
        </w:pict>
      </w:r>
    </w:p>
    <w:p>
      <w:pPr>
        <w:pStyle w:val="BodyText"/>
        <w:spacing w:before="9"/>
        <w:rPr>
          <w:sz w:val="13"/>
        </w:rPr>
      </w:pPr>
    </w:p>
    <w:p>
      <w:pPr>
        <w:spacing w:line="601" w:lineRule="exact" w:before="0"/>
        <w:ind w:left="4666" w:right="5033" w:firstLine="0"/>
        <w:jc w:val="center"/>
        <w:rPr>
          <w:rFonts w:ascii="方正宋黑_GBK" w:eastAsia="方正宋黑_GBK" w:hint="eastAsia"/>
          <w:sz w:val="44"/>
        </w:rPr>
      </w:pPr>
      <w:r>
        <w:rPr/>
        <w:drawing>
          <wp:anchor distT="0" distB="0" distL="0" distR="0" allowOverlap="1" layoutInCell="1" locked="0" behindDoc="0" simplePos="0" relativeHeight="1144">
            <wp:simplePos x="0" y="0"/>
            <wp:positionH relativeFrom="page">
              <wp:posOffset>4222848</wp:posOffset>
            </wp:positionH>
            <wp:positionV relativeFrom="paragraph">
              <wp:posOffset>423467</wp:posOffset>
            </wp:positionV>
            <wp:extent cx="846795" cy="10496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846795" cy="104965"/>
                    </a:xfrm>
                    <a:prstGeom prst="rect">
                      <a:avLst/>
                    </a:prstGeom>
                  </pic:spPr>
                </pic:pic>
              </a:graphicData>
            </a:graphic>
          </wp:anchor>
        </w:drawing>
      </w:r>
      <w:r>
        <w:rPr/>
        <w:drawing>
          <wp:anchor distT="0" distB="0" distL="0" distR="0" allowOverlap="1" layoutInCell="1" locked="0" behindDoc="0" simplePos="0" relativeHeight="1168">
            <wp:simplePos x="0" y="0"/>
            <wp:positionH relativeFrom="page">
              <wp:posOffset>5132984</wp:posOffset>
            </wp:positionH>
            <wp:positionV relativeFrom="paragraph">
              <wp:posOffset>424991</wp:posOffset>
            </wp:positionV>
            <wp:extent cx="853193" cy="10496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853193" cy="104965"/>
                    </a:xfrm>
                    <a:prstGeom prst="rect">
                      <a:avLst/>
                    </a:prstGeom>
                  </pic:spPr>
                </pic:pic>
              </a:graphicData>
            </a:graphic>
          </wp:anchor>
        </w:drawing>
      </w:r>
      <w:r>
        <w:rPr/>
        <w:pict>
          <v:group style="position:absolute;margin-left:500.13089pt;margin-top:-207.65329pt;width:252.5pt;height:398.65pt;mso-position-horizontal-relative:page;mso-position-vertical-relative:paragraph;z-index:1288" coordorigin="10003,-4153" coordsize="5050,7973">
            <v:line style="position:absolute" from="10008,214" to="10008,-4143" stroked="true" strokeweight=".5pt" strokecolor="#231f20">
              <v:stroke dashstyle="solid"/>
            </v:line>
            <v:line style="position:absolute" from="10008,3809" to="10008,224" stroked="true" strokeweight=".5pt" strokecolor="#231f20">
              <v:stroke dashstyle="solid"/>
            </v:line>
            <v:line style="position:absolute" from="15047,214" to="15047,-4143" stroked="true" strokeweight=".5pt" strokecolor="#231f20">
              <v:stroke dashstyle="solid"/>
            </v:line>
            <v:line style="position:absolute" from="15047,3809" to="15047,224" stroked="true" strokeweight=".5pt" strokecolor="#231f20">
              <v:stroke dashstyle="solid"/>
            </v:line>
            <v:line style="position:absolute" from="10003,3814" to="15052,3814" stroked="true" strokeweight=".5pt" strokecolor="#231f20">
              <v:stroke dashstyle="solid"/>
            </v:line>
            <v:line style="position:absolute" from="10003,219" to="15052,219" stroked="true" strokeweight=".5pt" strokecolor="#231f20">
              <v:stroke dashstyle="solid"/>
            </v:line>
            <v:line style="position:absolute" from="10121,1378" to="14462,1378" stroked="true" strokeweight=".492pt" strokecolor="#231f20">
              <v:stroke dashstyle="solid"/>
            </v:line>
            <v:line style="position:absolute" from="10121,1698" to="14462,1698" stroked="true" strokeweight=".492pt" strokecolor="#231f20">
              <v:stroke dashstyle="solid"/>
            </v:line>
            <v:line style="position:absolute" from="10121,2338" to="14495,2338" stroked="true" strokeweight=".492pt" strokecolor="#231f20">
              <v:stroke dashstyle="solid"/>
            </v:line>
            <v:line style="position:absolute" from="10121,2658" to="14495,2658" stroked="true" strokeweight=".492pt" strokecolor="#231f20">
              <v:stroke dashstyle="solid"/>
            </v:line>
            <v:line style="position:absolute" from="10121,2978" to="14495,2978" stroked="true" strokeweight=".492pt" strokecolor="#231f20">
              <v:stroke dashstyle="solid"/>
            </v:line>
            <v:line style="position:absolute" from="10121,3298" to="14495,3298" stroked="true" strokeweight=".492pt" strokecolor="#231f20">
              <v:stroke dashstyle="solid"/>
            </v:line>
            <v:shape style="position:absolute;left:10007;top:-4149;width:5040;height:4368" type="#_x0000_t202" filled="false" stroked="true" strokeweight=".5pt" strokecolor="#231f20">
              <v:textbox inset="0,0,0,0">
                <w:txbxContent>
                  <w:p>
                    <w:pPr>
                      <w:tabs>
                        <w:tab w:pos="3965" w:val="left" w:leader="none"/>
                      </w:tabs>
                      <w:spacing w:line="277" w:lineRule="exact" w:before="0"/>
                      <w:ind w:left="108" w:right="0" w:firstLine="0"/>
                      <w:jc w:val="left"/>
                      <w:rPr>
                        <w:rFonts w:ascii="Times New Roman" w:eastAsia="Times New Roman"/>
                        <w:sz w:val="21"/>
                      </w:rPr>
                    </w:pPr>
                    <w:r>
                      <w:rPr>
                        <w:rFonts w:ascii="方正黑体_GBK" w:eastAsia="方正黑体_GBK" w:hint="eastAsia"/>
                        <w:i/>
                        <w:color w:val="231F20"/>
                        <w:sz w:val="24"/>
                      </w:rPr>
                      <w:t>血型</w:t>
                    </w:r>
                    <w:r>
                      <w:rPr>
                        <w:rFonts w:ascii="方正黑体_GBK" w:eastAsia="方正黑体_GBK" w:hint="eastAsia"/>
                        <w:i/>
                        <w:color w:val="231F20"/>
                        <w:spacing w:val="-9"/>
                        <w:sz w:val="24"/>
                      </w:rPr>
                      <w:t> </w:t>
                    </w:r>
                    <w:r>
                      <w:rPr>
                        <w:color w:val="231F20"/>
                        <w:position w:val="1"/>
                        <w:sz w:val="21"/>
                      </w:rPr>
                      <w:t>blood</w:t>
                    </w:r>
                    <w:r>
                      <w:rPr>
                        <w:color w:val="231F20"/>
                        <w:spacing w:val="47"/>
                        <w:position w:val="1"/>
                        <w:sz w:val="21"/>
                      </w:rPr>
                      <w:t> </w:t>
                    </w:r>
                    <w:r>
                      <w:rPr>
                        <w:color w:val="231F20"/>
                        <w:position w:val="1"/>
                        <w:sz w:val="21"/>
                      </w:rPr>
                      <w:t>type:</w:t>
                    </w:r>
                    <w:r>
                      <w:rPr>
                        <w:color w:val="231F20"/>
                        <w:spacing w:val="-2"/>
                        <w:position w:val="1"/>
                        <w:sz w:val="21"/>
                      </w:rPr>
                      <w:t> </w:t>
                    </w:r>
                    <w:r>
                      <w:rPr>
                        <w:color w:val="231F20"/>
                        <w:position w:val="1"/>
                        <w:sz w:val="21"/>
                      </w:rPr>
                      <w:t>A</w:t>
                    </w:r>
                    <w:r>
                      <w:rPr>
                        <w:color w:val="231F20"/>
                        <w:spacing w:val="-1"/>
                        <w:position w:val="1"/>
                        <w:sz w:val="21"/>
                      </w:rPr>
                      <w:t> </w:t>
                    </w:r>
                    <w:r>
                      <w:rPr>
                        <w:color w:val="231F20"/>
                        <w:position w:val="1"/>
                        <w:sz w:val="21"/>
                      </w:rPr>
                      <w:t>口</w:t>
                    </w:r>
                    <w:r>
                      <w:rPr>
                        <w:color w:val="231F20"/>
                        <w:spacing w:val="-1"/>
                        <w:position w:val="1"/>
                        <w:sz w:val="21"/>
                      </w:rPr>
                      <w:t> </w:t>
                    </w:r>
                    <w:r>
                      <w:rPr>
                        <w:color w:val="231F20"/>
                        <w:position w:val="1"/>
                        <w:sz w:val="21"/>
                      </w:rPr>
                      <w:t>B</w:t>
                    </w:r>
                    <w:r>
                      <w:rPr>
                        <w:color w:val="231F20"/>
                        <w:spacing w:val="-1"/>
                        <w:position w:val="1"/>
                        <w:sz w:val="21"/>
                      </w:rPr>
                      <w:t> </w:t>
                    </w:r>
                    <w:r>
                      <w:rPr>
                        <w:color w:val="231F20"/>
                        <w:position w:val="1"/>
                        <w:sz w:val="21"/>
                      </w:rPr>
                      <w:t>口</w:t>
                    </w:r>
                    <w:r>
                      <w:rPr>
                        <w:color w:val="231F20"/>
                        <w:spacing w:val="-1"/>
                        <w:position w:val="1"/>
                        <w:sz w:val="21"/>
                      </w:rPr>
                      <w:t> </w:t>
                    </w:r>
                    <w:r>
                      <w:rPr>
                        <w:color w:val="231F20"/>
                        <w:position w:val="1"/>
                        <w:sz w:val="21"/>
                      </w:rPr>
                      <w:t>AB</w:t>
                    </w:r>
                    <w:r>
                      <w:rPr>
                        <w:color w:val="231F20"/>
                        <w:spacing w:val="-1"/>
                        <w:position w:val="1"/>
                        <w:sz w:val="21"/>
                      </w:rPr>
                      <w:t> </w:t>
                    </w:r>
                    <w:r>
                      <w:rPr>
                        <w:color w:val="231F20"/>
                        <w:position w:val="1"/>
                        <w:sz w:val="21"/>
                      </w:rPr>
                      <w:t>口其他</w:t>
                    </w:r>
                    <w:r>
                      <w:rPr>
                        <w:rFonts w:ascii="Times New Roman" w:eastAsia="Times New Roman"/>
                        <w:color w:val="231F20"/>
                        <w:position w:val="1"/>
                        <w:sz w:val="21"/>
                        <w:u w:val="single" w:color="231F20"/>
                      </w:rPr>
                      <w:t> </w:t>
                      <w:tab/>
                    </w:r>
                  </w:p>
                  <w:p>
                    <w:pPr>
                      <w:spacing w:line="347" w:lineRule="exact" w:before="0"/>
                      <w:ind w:left="108" w:right="0" w:firstLine="0"/>
                      <w:jc w:val="left"/>
                      <w:rPr>
                        <w:sz w:val="21"/>
                      </w:rPr>
                    </w:pPr>
                    <w:r>
                      <w:rPr>
                        <w:rFonts w:ascii="方正黑体_GBK" w:eastAsia="方正黑体_GBK" w:hint="eastAsia"/>
                        <w:i/>
                        <w:color w:val="231F20"/>
                        <w:sz w:val="24"/>
                      </w:rPr>
                      <w:t>过敏史 </w:t>
                    </w:r>
                    <w:r>
                      <w:rPr>
                        <w:color w:val="231F20"/>
                        <w:position w:val="1"/>
                        <w:sz w:val="21"/>
                      </w:rPr>
                      <w:t>allergy history：</w:t>
                    </w:r>
                  </w:p>
                  <w:p>
                    <w:pPr>
                      <w:spacing w:line="259" w:lineRule="auto" w:before="4"/>
                      <w:ind w:left="108" w:right="678" w:firstLine="0"/>
                      <w:jc w:val="left"/>
                      <w:rPr>
                        <w:sz w:val="21"/>
                      </w:rPr>
                    </w:pPr>
                    <w:r>
                      <w:rPr>
                        <w:color w:val="231F20"/>
                        <w:sz w:val="21"/>
                      </w:rPr>
                      <w:t>抗生素类药物 antibiofic 口磺胺类药物sulfu 口破伤风抗毒素 tetanaus antitoxin 口</w:t>
                    </w:r>
                  </w:p>
                  <w:p>
                    <w:pPr>
                      <w:tabs>
                        <w:tab w:pos="2388" w:val="left" w:leader="none"/>
                      </w:tabs>
                      <w:spacing w:line="259" w:lineRule="auto" w:before="5"/>
                      <w:ind w:left="108" w:right="271" w:firstLine="0"/>
                      <w:jc w:val="left"/>
                      <w:rPr>
                        <w:rFonts w:ascii="Times New Roman" w:eastAsia="Times New Roman"/>
                        <w:sz w:val="21"/>
                      </w:rPr>
                    </w:pPr>
                    <w:r>
                      <w:rPr>
                        <w:color w:val="231F20"/>
                        <w:sz w:val="21"/>
                      </w:rPr>
                      <w:t>麻醉用药</w:t>
                    </w:r>
                    <w:r>
                      <w:rPr>
                        <w:color w:val="231F20"/>
                        <w:spacing w:val="-3"/>
                        <w:sz w:val="21"/>
                      </w:rPr>
                      <w:t> </w:t>
                    </w:r>
                    <w:r>
                      <w:rPr>
                        <w:color w:val="231F20"/>
                        <w:sz w:val="21"/>
                      </w:rPr>
                      <w:t>stupefacient</w:t>
                    </w:r>
                    <w:r>
                      <w:rPr>
                        <w:color w:val="231F20"/>
                        <w:spacing w:val="-3"/>
                        <w:sz w:val="21"/>
                      </w:rPr>
                      <w:t> </w:t>
                    </w:r>
                    <w:r>
                      <w:rPr>
                        <w:color w:val="231F20"/>
                        <w:sz w:val="21"/>
                      </w:rPr>
                      <w:t>口镇静安眠药</w:t>
                    </w:r>
                    <w:r>
                      <w:rPr>
                        <w:color w:val="231F20"/>
                        <w:spacing w:val="-3"/>
                        <w:sz w:val="21"/>
                      </w:rPr>
                      <w:t> </w:t>
                    </w:r>
                    <w:r>
                      <w:rPr>
                        <w:color w:val="231F20"/>
                        <w:sz w:val="21"/>
                      </w:rPr>
                      <w:t>phenobarbital</w:t>
                    </w:r>
                    <w:r>
                      <w:rPr>
                        <w:color w:val="231F20"/>
                        <w:spacing w:val="-2"/>
                        <w:sz w:val="21"/>
                      </w:rPr>
                      <w:t> </w:t>
                    </w:r>
                    <w:r>
                      <w:rPr>
                        <w:color w:val="231F20"/>
                        <w:sz w:val="21"/>
                      </w:rPr>
                      <w:t>口其他</w:t>
                    </w:r>
                    <w:r>
                      <w:rPr>
                        <w:rFonts w:ascii="Times New Roman" w:eastAsia="Times New Roman"/>
                        <w:color w:val="231F20"/>
                        <w:sz w:val="21"/>
                        <w:u w:val="single" w:color="231F20"/>
                      </w:rPr>
                      <w:t> </w:t>
                      <w:tab/>
                    </w:r>
                  </w:p>
                  <w:p>
                    <w:pPr>
                      <w:spacing w:line="244" w:lineRule="auto" w:before="0"/>
                      <w:ind w:left="108" w:right="1401" w:firstLine="0"/>
                      <w:jc w:val="left"/>
                      <w:rPr>
                        <w:sz w:val="21"/>
                      </w:rPr>
                    </w:pPr>
                    <w:r>
                      <w:rPr>
                        <w:rFonts w:ascii="方正黑体_GBK" w:eastAsia="方正黑体_GBK" w:hint="eastAsia"/>
                        <w:i/>
                        <w:color w:val="231F20"/>
                        <w:sz w:val="24"/>
                      </w:rPr>
                      <w:t>既往疾病 </w:t>
                    </w:r>
                    <w:r>
                      <w:rPr>
                        <w:color w:val="231F20"/>
                        <w:sz w:val="24"/>
                      </w:rPr>
                      <w:t>formerly medical history</w:t>
                    </w:r>
                    <w:r>
                      <w:rPr>
                        <w:color w:val="231F20"/>
                        <w:position w:val="1"/>
                        <w:sz w:val="21"/>
                      </w:rPr>
                      <w:t>： </w:t>
                    </w:r>
                    <w:r>
                      <w:rPr>
                        <w:color w:val="231F20"/>
                        <w:sz w:val="21"/>
                      </w:rPr>
                      <w:t>恶性肿瘤 tumor 口糖尿病 diabetes 口心血管病 cardiovascular disease 口</w:t>
                    </w:r>
                  </w:p>
                  <w:p>
                    <w:pPr>
                      <w:spacing w:before="32"/>
                      <w:ind w:left="108" w:right="0" w:firstLine="0"/>
                      <w:jc w:val="left"/>
                      <w:rPr>
                        <w:sz w:val="21"/>
                      </w:rPr>
                    </w:pPr>
                    <w:r>
                      <w:rPr>
                        <w:color w:val="231F20"/>
                        <w:sz w:val="21"/>
                      </w:rPr>
                      <w:t>高血压 high blood pressure 口</w:t>
                    </w:r>
                  </w:p>
                  <w:p>
                    <w:pPr>
                      <w:tabs>
                        <w:tab w:pos="2388" w:val="left" w:leader="none"/>
                      </w:tabs>
                      <w:spacing w:line="259" w:lineRule="auto" w:before="24"/>
                      <w:ind w:left="108" w:right="1327" w:firstLine="0"/>
                      <w:jc w:val="left"/>
                      <w:rPr>
                        <w:rFonts w:ascii="Times New Roman" w:eastAsia="Times New Roman"/>
                        <w:sz w:val="21"/>
                      </w:rPr>
                    </w:pPr>
                    <w:r>
                      <w:rPr>
                        <w:color w:val="231F20"/>
                        <w:sz w:val="21"/>
                      </w:rPr>
                      <w:t>癫痫</w:t>
                    </w:r>
                    <w:r>
                      <w:rPr>
                        <w:color w:val="231F20"/>
                        <w:spacing w:val="-4"/>
                        <w:sz w:val="21"/>
                      </w:rPr>
                      <w:t> </w:t>
                    </w:r>
                    <w:r>
                      <w:rPr>
                        <w:color w:val="231F20"/>
                        <w:sz w:val="21"/>
                      </w:rPr>
                      <w:t>epilepsy</w:t>
                    </w:r>
                    <w:r>
                      <w:rPr>
                        <w:color w:val="231F20"/>
                        <w:spacing w:val="-3"/>
                        <w:sz w:val="21"/>
                      </w:rPr>
                      <w:t> </w:t>
                    </w:r>
                    <w:r>
                      <w:rPr>
                        <w:color w:val="231F20"/>
                        <w:sz w:val="21"/>
                      </w:rPr>
                      <w:t>口精神疾病</w:t>
                    </w:r>
                    <w:r>
                      <w:rPr>
                        <w:color w:val="231F20"/>
                        <w:spacing w:val="-4"/>
                        <w:sz w:val="21"/>
                      </w:rPr>
                      <w:t> </w:t>
                    </w:r>
                    <w:r>
                      <w:rPr>
                        <w:color w:val="231F20"/>
                        <w:sz w:val="21"/>
                      </w:rPr>
                      <w:t>psychopathy</w:t>
                    </w:r>
                    <w:r>
                      <w:rPr>
                        <w:color w:val="231F20"/>
                        <w:spacing w:val="-3"/>
                        <w:sz w:val="21"/>
                      </w:rPr>
                      <w:t> </w:t>
                    </w:r>
                    <w:r>
                      <w:rPr>
                        <w:color w:val="231F20"/>
                        <w:sz w:val="21"/>
                      </w:rPr>
                      <w:t>口其他</w:t>
                    </w:r>
                    <w:r>
                      <w:rPr>
                        <w:rFonts w:ascii="Times New Roman" w:eastAsia="Times New Roman"/>
                        <w:color w:val="231F20"/>
                        <w:sz w:val="21"/>
                        <w:u w:val="single" w:color="231F20"/>
                      </w:rPr>
                      <w:t> </w:t>
                      <w:tab/>
                    </w:r>
                  </w:p>
                </w:txbxContent>
              </v:textbox>
              <v:stroke dashstyle="solid"/>
              <w10:wrap type="none"/>
            </v:shape>
            <v:shape style="position:absolute;left:10121;top:498;width:4399;height:570" type="#_x0000_t202" filled="false" stroked="false">
              <v:textbox inset="0,0,0,0">
                <w:txbxContent>
                  <w:p>
                    <w:pPr>
                      <w:spacing w:line="269" w:lineRule="exact" w:before="0"/>
                      <w:ind w:left="0" w:right="0" w:firstLine="0"/>
                      <w:jc w:val="left"/>
                      <w:rPr>
                        <w:sz w:val="24"/>
                      </w:rPr>
                    </w:pPr>
                    <w:r>
                      <w:rPr>
                        <w:rFonts w:ascii="方正黑体_GBK" w:eastAsia="方正黑体_GBK" w:hint="eastAsia"/>
                        <w:i/>
                        <w:color w:val="231F20"/>
                        <w:sz w:val="24"/>
                      </w:rPr>
                      <w:t>可以使用的商业保险 </w:t>
                    </w:r>
                    <w:r>
                      <w:rPr>
                        <w:color w:val="231F20"/>
                        <w:sz w:val="24"/>
                      </w:rPr>
                      <w:t>commercial insurance</w:t>
                    </w:r>
                  </w:p>
                  <w:p>
                    <w:pPr>
                      <w:tabs>
                        <w:tab w:pos="4377" w:val="left" w:leader="none"/>
                      </w:tabs>
                      <w:spacing w:line="301" w:lineRule="exact" w:before="0"/>
                      <w:ind w:left="0" w:right="0" w:firstLine="0"/>
                      <w:jc w:val="left"/>
                      <w:rPr>
                        <w:rFonts w:ascii="Times New Roman" w:eastAsia="Times New Roman"/>
                        <w:sz w:val="21"/>
                      </w:rPr>
                    </w:pPr>
                    <w:r>
                      <w:rPr>
                        <w:color w:val="231F20"/>
                        <w:sz w:val="21"/>
                      </w:rPr>
                      <w:t>company</w:t>
                    </w:r>
                    <w:r>
                      <w:rPr>
                        <w:color w:val="231F20"/>
                        <w:spacing w:val="-10"/>
                        <w:sz w:val="21"/>
                      </w:rPr>
                      <w:t> </w:t>
                    </w:r>
                    <w:r>
                      <w:rPr>
                        <w:color w:val="231F20"/>
                        <w:sz w:val="21"/>
                      </w:rPr>
                      <w:t>name：</w:t>
                    </w:r>
                    <w:r>
                      <w:rPr>
                        <w:rFonts w:ascii="Times New Roman" w:eastAsia="Times New Roman"/>
                        <w:color w:val="231F20"/>
                        <w:sz w:val="21"/>
                        <w:u w:val="single" w:color="231F20"/>
                      </w:rPr>
                      <w:t> </w:t>
                      <w:tab/>
                    </w:r>
                  </w:p>
                </w:txbxContent>
              </v:textbox>
              <w10:wrap type="none"/>
            </v:shape>
            <v:shape style="position:absolute;left:10121;top:1778;width:4396;height:270" type="#_x0000_t202" filled="false" stroked="false">
              <v:textbox inset="0,0,0,0">
                <w:txbxContent>
                  <w:p>
                    <w:pPr>
                      <w:tabs>
                        <w:tab w:pos="4375" w:val="left" w:leader="none"/>
                      </w:tabs>
                      <w:spacing w:line="270" w:lineRule="exact" w:before="0"/>
                      <w:ind w:left="0" w:right="0" w:firstLine="0"/>
                      <w:jc w:val="left"/>
                      <w:rPr>
                        <w:rFonts w:ascii="Times New Roman" w:eastAsia="Times New Roman"/>
                        <w:sz w:val="24"/>
                      </w:rPr>
                    </w:pPr>
                    <w:r>
                      <w:rPr>
                        <w:rFonts w:ascii="方正黑体_GBK" w:eastAsia="方正黑体_GBK" w:hint="eastAsia"/>
                        <w:i/>
                        <w:color w:val="231F20"/>
                        <w:sz w:val="24"/>
                      </w:rPr>
                      <w:t>特别说明：</w:t>
                    </w:r>
                    <w:r>
                      <w:rPr>
                        <w:rFonts w:ascii="Times New Roman" w:eastAsia="Times New Roman"/>
                        <w:color w:val="231F20"/>
                        <w:sz w:val="24"/>
                        <w:u w:val="single" w:color="231F20"/>
                      </w:rPr>
                      <w:t> </w:t>
                      <w:tab/>
                    </w:r>
                  </w:p>
                </w:txbxContent>
              </v:textbox>
              <w10:wrap type="none"/>
            </v:shape>
            <v:shape style="position:absolute;left:10121;top:3380;width:3244;height:248" type="#_x0000_t202" filled="false" stroked="false">
              <v:textbox inset="0,0,0,0">
                <w:txbxContent>
                  <w:p>
                    <w:pPr>
                      <w:tabs>
                        <w:tab w:pos="1963" w:val="left" w:leader="none"/>
                      </w:tabs>
                      <w:spacing w:line="247" w:lineRule="exact" w:before="0"/>
                      <w:ind w:left="0" w:right="0" w:firstLine="0"/>
                      <w:jc w:val="left"/>
                      <w:rPr>
                        <w:sz w:val="21"/>
                      </w:rPr>
                    </w:pPr>
                    <w:r>
                      <w:rPr>
                        <w:rFonts w:ascii="Times New Roman" w:eastAsia="Times New Roman"/>
                        <w:color w:val="231F20"/>
                        <w:sz w:val="21"/>
                        <w:u w:val="single" w:color="231F20"/>
                      </w:rPr>
                      <w:t> </w:t>
                      <w:tab/>
                    </w:r>
                    <w:r>
                      <w:rPr>
                        <w:color w:val="231F20"/>
                        <w:sz w:val="21"/>
                      </w:rPr>
                      <w:t>持卡人签字：</w:t>
                    </w:r>
                  </w:p>
                </w:txbxContent>
              </v:textbox>
              <w10:wrap type="none"/>
            </v:shape>
            <w10:wrap type="none"/>
          </v:group>
        </w:pict>
      </w:r>
      <w:r>
        <w:rPr/>
        <w:pict>
          <v:group style="position:absolute;margin-left:73.700798pt;margin-top:10.813811pt;width:225.35pt;height:180.15pt;mso-position-horizontal-relative:page;mso-position-vertical-relative:paragraph;z-index:1336" coordorigin="1474,216" coordsize="4507,3603">
            <v:line style="position:absolute" from="1479,3809" to="1479,219" stroked="true" strokeweight=".5pt" strokecolor="#231f20">
              <v:stroke dashstyle="solid"/>
            </v:line>
            <v:line style="position:absolute" from="5976,3809" to="5976,219" stroked="true" strokeweight=".5pt" strokecolor="#231f20">
              <v:stroke dashstyle="solid"/>
            </v:line>
            <v:line style="position:absolute" from="1474,3814" to="5981,3814" stroked="true" strokeweight=".5pt" strokecolor="#231f20">
              <v:stroke dashstyle="solid"/>
            </v:line>
            <v:line style="position:absolute" from="1484,219" to="5971,219" stroked="true" strokeweight=".283pt" strokecolor="#231f20">
              <v:stroke dashstyle="solid"/>
            </v:line>
            <v:line style="position:absolute" from="1592,3278" to="3453,3278" stroked="true" strokeweight=".492pt" strokecolor="#231f20">
              <v:stroke dashstyle="solid"/>
            </v:line>
            <v:shape style="position:absolute;left:1484;top:221;width:4487;height:3588" type="#_x0000_t202" filled="false" stroked="false">
              <v:textbox inset="0,0,0,0">
                <w:txbxContent>
                  <w:p>
                    <w:pPr>
                      <w:spacing w:line="240" w:lineRule="auto" w:before="7"/>
                      <w:rPr>
                        <w:rFonts w:ascii="方正宋黑_GBK"/>
                        <w:sz w:val="15"/>
                      </w:rPr>
                    </w:pPr>
                  </w:p>
                  <w:p>
                    <w:pPr>
                      <w:spacing w:line="298" w:lineRule="exact" w:before="0"/>
                      <w:ind w:left="108" w:right="0" w:firstLine="0"/>
                      <w:jc w:val="left"/>
                      <w:rPr>
                        <w:sz w:val="21"/>
                      </w:rPr>
                    </w:pPr>
                    <w:r>
                      <w:rPr>
                        <w:color w:val="231F20"/>
                        <w:sz w:val="21"/>
                      </w:rPr>
                      <w:t>姓和名 family name and given name：</w:t>
                    </w:r>
                  </w:p>
                  <w:p>
                    <w:pPr>
                      <w:tabs>
                        <w:tab w:pos="1141" w:val="left" w:leader="none"/>
                        <w:tab w:pos="2902" w:val="left" w:leader="none"/>
                      </w:tabs>
                      <w:spacing w:line="280" w:lineRule="exact" w:before="0"/>
                      <w:ind w:left="160" w:right="0" w:firstLine="0"/>
                      <w:jc w:val="left"/>
                      <w:rPr>
                        <w:rFonts w:ascii="Times New Roman" w:hAnsi="Times New Roman"/>
                        <w:sz w:val="21"/>
                      </w:rPr>
                    </w:pPr>
                    <w:r>
                      <w:rPr>
                        <w:rFonts w:ascii="Times New Roman" w:hAnsi="Times New Roman"/>
                        <w:color w:val="231F20"/>
                        <w:sz w:val="21"/>
                        <w:u w:val="single" w:color="231F20"/>
                      </w:rPr>
                      <w:t> </w:t>
                      <w:tab/>
                    </w:r>
                    <w:r>
                      <w:rPr>
                        <w:color w:val="231F20"/>
                        <w:sz w:val="21"/>
                      </w:rPr>
                      <w:t>—</w:t>
                    </w:r>
                    <w:r>
                      <w:rPr>
                        <w:rFonts w:ascii="Times New Roman" w:hAnsi="Times New Roman"/>
                        <w:color w:val="231F20"/>
                        <w:sz w:val="21"/>
                        <w:u w:val="single" w:color="231F20"/>
                      </w:rPr>
                      <w:t> </w:t>
                      <w:tab/>
                    </w:r>
                  </w:p>
                  <w:p>
                    <w:pPr>
                      <w:spacing w:line="280" w:lineRule="exact" w:before="0"/>
                      <w:ind w:left="108" w:right="0" w:firstLine="0"/>
                      <w:jc w:val="left"/>
                      <w:rPr>
                        <w:sz w:val="21"/>
                      </w:rPr>
                    </w:pPr>
                    <w:r>
                      <w:rPr>
                        <w:color w:val="231F20"/>
                        <w:sz w:val="21"/>
                      </w:rPr>
                      <w:t>护照号码 passport number：</w:t>
                    </w:r>
                  </w:p>
                  <w:p>
                    <w:pPr>
                      <w:spacing w:line="213" w:lineRule="auto" w:before="16"/>
                      <w:ind w:left="108" w:right="579" w:firstLine="0"/>
                      <w:jc w:val="left"/>
                      <w:rPr>
                        <w:sz w:val="21"/>
                      </w:rPr>
                    </w:pPr>
                    <w:r>
                      <w:rPr>
                        <w:color w:val="231F20"/>
                        <w:sz w:val="21"/>
                      </w:rPr>
                      <w:t>□□□□□□□□□□□□□□□□□□ 身份证号码 ID card number：</w:t>
                    </w:r>
                  </w:p>
                  <w:p>
                    <w:pPr>
                      <w:tabs>
                        <w:tab w:pos="2793" w:val="left" w:leader="none"/>
                      </w:tabs>
                      <w:spacing w:line="213" w:lineRule="auto" w:before="0"/>
                      <w:ind w:left="108" w:right="596" w:firstLine="0"/>
                      <w:jc w:val="left"/>
                      <w:rPr>
                        <w:rFonts w:ascii="Times New Roman" w:hAnsi="Times New Roman" w:eastAsia="Times New Roman"/>
                        <w:sz w:val="21"/>
                      </w:rPr>
                    </w:pPr>
                    <w:r>
                      <w:rPr>
                        <w:color w:val="231F20"/>
                        <w:sz w:val="21"/>
                      </w:rPr>
                      <w:t>□□□□□□□□□□□□□□□□□□ 国籍</w:t>
                    </w:r>
                    <w:r>
                      <w:rPr>
                        <w:color w:val="231F20"/>
                        <w:spacing w:val="-11"/>
                        <w:sz w:val="21"/>
                      </w:rPr>
                      <w:t> </w:t>
                    </w:r>
                    <w:r>
                      <w:rPr>
                        <w:color w:val="231F20"/>
                        <w:sz w:val="21"/>
                      </w:rPr>
                      <w:t>nationality：</w:t>
                    </w:r>
                    <w:r>
                      <w:rPr>
                        <w:rFonts w:ascii="Times New Roman" w:hAnsi="Times New Roman" w:eastAsia="Times New Roman"/>
                        <w:color w:val="231F20"/>
                        <w:sz w:val="21"/>
                        <w:u w:val="single" w:color="231F20"/>
                      </w:rPr>
                      <w:t> </w:t>
                      <w:tab/>
                    </w:r>
                  </w:p>
                  <w:p>
                    <w:pPr>
                      <w:tabs>
                        <w:tab w:pos="3450" w:val="left" w:leader="none"/>
                      </w:tabs>
                      <w:spacing w:line="213" w:lineRule="auto" w:before="0"/>
                      <w:ind w:left="108" w:right="21" w:firstLine="0"/>
                      <w:jc w:val="left"/>
                      <w:rPr>
                        <w:rFonts w:ascii="Times New Roman" w:eastAsia="Times New Roman"/>
                        <w:sz w:val="21"/>
                      </w:rPr>
                    </w:pPr>
                    <w:r>
                      <w:rPr>
                        <w:color w:val="231F20"/>
                        <w:spacing w:val="7"/>
                        <w:sz w:val="21"/>
                      </w:rPr>
                      <w:t>急救情况下联系人姓</w:t>
                    </w:r>
                    <w:r>
                      <w:rPr>
                        <w:color w:val="231F20"/>
                        <w:sz w:val="21"/>
                      </w:rPr>
                      <w:t>名</w:t>
                    </w:r>
                    <w:r>
                      <w:rPr>
                        <w:color w:val="231F20"/>
                        <w:spacing w:val="7"/>
                        <w:sz w:val="21"/>
                      </w:rPr>
                      <w:t>、手机号</w:t>
                    </w:r>
                    <w:r>
                      <w:rPr>
                        <w:color w:val="231F20"/>
                        <w:sz w:val="21"/>
                      </w:rPr>
                      <w:t>码</w:t>
                    </w:r>
                    <w:r>
                      <w:rPr>
                        <w:color w:val="231F20"/>
                        <w:spacing w:val="7"/>
                        <w:sz w:val="21"/>
                      </w:rPr>
                      <w:t>、备用电</w:t>
                    </w:r>
                    <w:r>
                      <w:rPr>
                        <w:color w:val="231F20"/>
                        <w:sz w:val="21"/>
                      </w:rPr>
                      <w:t>话号码</w:t>
                    </w:r>
                    <w:r>
                      <w:rPr>
                        <w:color w:val="231F20"/>
                        <w:spacing w:val="-7"/>
                        <w:sz w:val="21"/>
                      </w:rPr>
                      <w:t> </w:t>
                    </w:r>
                    <w:r>
                      <w:rPr>
                        <w:color w:val="231F20"/>
                        <w:sz w:val="21"/>
                      </w:rPr>
                      <w:t>emergency</w:t>
                    </w:r>
                    <w:r>
                      <w:rPr>
                        <w:color w:val="231F20"/>
                        <w:spacing w:val="-8"/>
                        <w:sz w:val="21"/>
                      </w:rPr>
                      <w:t> </w:t>
                    </w:r>
                    <w:r>
                      <w:rPr>
                        <w:color w:val="231F20"/>
                        <w:sz w:val="21"/>
                      </w:rPr>
                      <w:t>contact：</w:t>
                    </w:r>
                    <w:r>
                      <w:rPr>
                        <w:rFonts w:ascii="Times New Roman" w:eastAsia="Times New Roman"/>
                        <w:color w:val="231F20"/>
                        <w:sz w:val="21"/>
                        <w:u w:val="single" w:color="231F20"/>
                      </w:rPr>
                      <w:t> </w:t>
                      <w:tab/>
                    </w:r>
                  </w:p>
                </w:txbxContent>
              </v:textbox>
              <w10:wrap type="none"/>
            </v:shape>
            <w10:wrap type="none"/>
          </v:group>
        </w:pict>
      </w:r>
      <w:r>
        <w:rPr>
          <w:rFonts w:ascii="方正宋黑_GBK" w:eastAsia="方正宋黑_GBK" w:hint="eastAsia"/>
          <w:color w:val="231F20"/>
          <w:sz w:val="44"/>
        </w:rPr>
        <w:t>折叠线</w:t>
      </w:r>
    </w:p>
    <w:sectPr>
      <w:footerReference w:type="default" r:id="rId7"/>
      <w:pgSz w:w="16840" w:h="11910" w:orient="landscape"/>
      <w:pgMar w:footer="0" w:header="0" w:top="0" w:bottom="280" w:left="12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宋黑_GBK">
    <w:altName w:val="方正宋黑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94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93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2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2" w:hanging="218"/>
      </w:pPr>
      <w:rPr>
        <w:rFonts w:hint="default"/>
      </w:rPr>
    </w:lvl>
    <w:lvl w:ilvl="2">
      <w:start w:val="0"/>
      <w:numFmt w:val="bullet"/>
      <w:lvlText w:val="•"/>
      <w:lvlJc w:val="left"/>
      <w:pPr>
        <w:ind w:left="2065" w:hanging="218"/>
      </w:pPr>
      <w:rPr>
        <w:rFonts w:hint="default"/>
      </w:rPr>
    </w:lvl>
    <w:lvl w:ilvl="3">
      <w:start w:val="0"/>
      <w:numFmt w:val="bullet"/>
      <w:lvlText w:val="•"/>
      <w:lvlJc w:val="left"/>
      <w:pPr>
        <w:ind w:left="2987" w:hanging="218"/>
      </w:pPr>
      <w:rPr>
        <w:rFonts w:hint="default"/>
      </w:rPr>
    </w:lvl>
    <w:lvl w:ilvl="4">
      <w:start w:val="0"/>
      <w:numFmt w:val="bullet"/>
      <w:lvlText w:val="•"/>
      <w:lvlJc w:val="left"/>
      <w:pPr>
        <w:ind w:left="3910" w:hanging="218"/>
      </w:pPr>
      <w:rPr>
        <w:rFonts w:hint="default"/>
      </w:rPr>
    </w:lvl>
    <w:lvl w:ilvl="5">
      <w:start w:val="0"/>
      <w:numFmt w:val="bullet"/>
      <w:lvlText w:val="•"/>
      <w:lvlJc w:val="left"/>
      <w:pPr>
        <w:ind w:left="4832" w:hanging="218"/>
      </w:pPr>
      <w:rPr>
        <w:rFonts w:hint="default"/>
      </w:rPr>
    </w:lvl>
    <w:lvl w:ilvl="6">
      <w:start w:val="0"/>
      <w:numFmt w:val="bullet"/>
      <w:lvlText w:val="•"/>
      <w:lvlJc w:val="left"/>
      <w:pPr>
        <w:ind w:left="5755" w:hanging="218"/>
      </w:pPr>
      <w:rPr>
        <w:rFonts w:hint="default"/>
      </w:rPr>
    </w:lvl>
    <w:lvl w:ilvl="7">
      <w:start w:val="0"/>
      <w:numFmt w:val="bullet"/>
      <w:lvlText w:val="•"/>
      <w:lvlJc w:val="left"/>
      <w:pPr>
        <w:ind w:left="6677" w:hanging="218"/>
      </w:pPr>
      <w:rPr>
        <w:rFonts w:hint="default"/>
      </w:rPr>
    </w:lvl>
    <w:lvl w:ilvl="8">
      <w:start w:val="0"/>
      <w:numFmt w:val="bullet"/>
      <w:lvlText w:val="•"/>
      <w:lvlJc w:val="left"/>
      <w:pPr>
        <w:ind w:left="7600" w:hanging="218"/>
      </w:pPr>
      <w:rPr>
        <w:rFonts w:hint="default"/>
      </w:rPr>
    </w:lvl>
  </w:abstractNum>
  <w:abstractNum w:abstractNumId="12">
    <w:multiLevelType w:val="hybridMultilevel"/>
    <w:lvl w:ilvl="0">
      <w:start w:val="1"/>
      <w:numFmt w:val="decimal"/>
      <w:lvlText w:val="%1."/>
      <w:lvlJc w:val="left"/>
      <w:pPr>
        <w:ind w:left="81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82" w:hanging="219"/>
      </w:pPr>
      <w:rPr>
        <w:rFonts w:hint="default"/>
      </w:rPr>
    </w:lvl>
    <w:lvl w:ilvl="2">
      <w:start w:val="0"/>
      <w:numFmt w:val="bullet"/>
      <w:lvlText w:val="•"/>
      <w:lvlJc w:val="left"/>
      <w:pPr>
        <w:ind w:left="2545" w:hanging="219"/>
      </w:pPr>
      <w:rPr>
        <w:rFonts w:hint="default"/>
      </w:rPr>
    </w:lvl>
    <w:lvl w:ilvl="3">
      <w:start w:val="0"/>
      <w:numFmt w:val="bullet"/>
      <w:lvlText w:val="•"/>
      <w:lvlJc w:val="left"/>
      <w:pPr>
        <w:ind w:left="3407" w:hanging="219"/>
      </w:pPr>
      <w:rPr>
        <w:rFonts w:hint="default"/>
      </w:rPr>
    </w:lvl>
    <w:lvl w:ilvl="4">
      <w:start w:val="0"/>
      <w:numFmt w:val="bullet"/>
      <w:lvlText w:val="•"/>
      <w:lvlJc w:val="left"/>
      <w:pPr>
        <w:ind w:left="4270" w:hanging="219"/>
      </w:pPr>
      <w:rPr>
        <w:rFonts w:hint="default"/>
      </w:rPr>
    </w:lvl>
    <w:lvl w:ilvl="5">
      <w:start w:val="0"/>
      <w:numFmt w:val="bullet"/>
      <w:lvlText w:val="•"/>
      <w:lvlJc w:val="left"/>
      <w:pPr>
        <w:ind w:left="5132" w:hanging="219"/>
      </w:pPr>
      <w:rPr>
        <w:rFonts w:hint="default"/>
      </w:rPr>
    </w:lvl>
    <w:lvl w:ilvl="6">
      <w:start w:val="0"/>
      <w:numFmt w:val="bullet"/>
      <w:lvlText w:val="•"/>
      <w:lvlJc w:val="left"/>
      <w:pPr>
        <w:ind w:left="5995" w:hanging="219"/>
      </w:pPr>
      <w:rPr>
        <w:rFonts w:hint="default"/>
      </w:rPr>
    </w:lvl>
    <w:lvl w:ilvl="7">
      <w:start w:val="0"/>
      <w:numFmt w:val="bullet"/>
      <w:lvlText w:val="•"/>
      <w:lvlJc w:val="left"/>
      <w:pPr>
        <w:ind w:left="6857" w:hanging="219"/>
      </w:pPr>
      <w:rPr>
        <w:rFonts w:hint="default"/>
      </w:rPr>
    </w:lvl>
    <w:lvl w:ilvl="8">
      <w:start w:val="0"/>
      <w:numFmt w:val="bullet"/>
      <w:lvlText w:val="•"/>
      <w:lvlJc w:val="left"/>
      <w:pPr>
        <w:ind w:left="7720" w:hanging="219"/>
      </w:pPr>
      <w:rPr>
        <w:rFonts w:hint="default"/>
      </w:rPr>
    </w:lvl>
  </w:abstractNum>
  <w:abstractNum w:abstractNumId="11">
    <w:multiLevelType w:val="hybridMultilevel"/>
    <w:lvl w:ilvl="0">
      <w:start w:val="1"/>
      <w:numFmt w:val="decimal"/>
      <w:lvlText w:val="%1."/>
      <w:lvlJc w:val="left"/>
      <w:pPr>
        <w:ind w:left="1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88" w:hanging="219"/>
      </w:pPr>
      <w:rPr>
        <w:rFonts w:hint="default"/>
      </w:rPr>
    </w:lvl>
    <w:lvl w:ilvl="2">
      <w:start w:val="0"/>
      <w:numFmt w:val="bullet"/>
      <w:lvlText w:val="•"/>
      <w:lvlJc w:val="left"/>
      <w:pPr>
        <w:ind w:left="2017" w:hanging="219"/>
      </w:pPr>
      <w:rPr>
        <w:rFonts w:hint="default"/>
      </w:rPr>
    </w:lvl>
    <w:lvl w:ilvl="3">
      <w:start w:val="0"/>
      <w:numFmt w:val="bullet"/>
      <w:lvlText w:val="•"/>
      <w:lvlJc w:val="left"/>
      <w:pPr>
        <w:ind w:left="2945" w:hanging="219"/>
      </w:pPr>
      <w:rPr>
        <w:rFonts w:hint="default"/>
      </w:rPr>
    </w:lvl>
    <w:lvl w:ilvl="4">
      <w:start w:val="0"/>
      <w:numFmt w:val="bullet"/>
      <w:lvlText w:val="•"/>
      <w:lvlJc w:val="left"/>
      <w:pPr>
        <w:ind w:left="3874" w:hanging="219"/>
      </w:pPr>
      <w:rPr>
        <w:rFonts w:hint="default"/>
      </w:rPr>
    </w:lvl>
    <w:lvl w:ilvl="5">
      <w:start w:val="0"/>
      <w:numFmt w:val="bullet"/>
      <w:lvlText w:val="•"/>
      <w:lvlJc w:val="left"/>
      <w:pPr>
        <w:ind w:left="480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59" w:hanging="219"/>
      </w:pPr>
      <w:rPr>
        <w:rFonts w:hint="default"/>
      </w:rPr>
    </w:lvl>
    <w:lvl w:ilvl="8">
      <w:start w:val="0"/>
      <w:numFmt w:val="bullet"/>
      <w:lvlText w:val="•"/>
      <w:lvlJc w:val="left"/>
      <w:pPr>
        <w:ind w:left="7588" w:hanging="219"/>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2" w:hanging="219"/>
      </w:pPr>
      <w:rPr>
        <w:rFonts w:hint="default"/>
      </w:rPr>
    </w:lvl>
    <w:lvl w:ilvl="2">
      <w:start w:val="0"/>
      <w:numFmt w:val="bullet"/>
      <w:lvlText w:val="•"/>
      <w:lvlJc w:val="left"/>
      <w:pPr>
        <w:ind w:left="1965" w:hanging="219"/>
      </w:pPr>
      <w:rPr>
        <w:rFonts w:hint="default"/>
      </w:rPr>
    </w:lvl>
    <w:lvl w:ilvl="3">
      <w:start w:val="0"/>
      <w:numFmt w:val="bullet"/>
      <w:lvlText w:val="•"/>
      <w:lvlJc w:val="left"/>
      <w:pPr>
        <w:ind w:left="2887" w:hanging="219"/>
      </w:pPr>
      <w:rPr>
        <w:rFonts w:hint="default"/>
      </w:rPr>
    </w:lvl>
    <w:lvl w:ilvl="4">
      <w:start w:val="0"/>
      <w:numFmt w:val="bullet"/>
      <w:lvlText w:val="•"/>
      <w:lvlJc w:val="left"/>
      <w:pPr>
        <w:ind w:left="3810" w:hanging="219"/>
      </w:pPr>
      <w:rPr>
        <w:rFonts w:hint="default"/>
      </w:rPr>
    </w:lvl>
    <w:lvl w:ilvl="5">
      <w:start w:val="0"/>
      <w:numFmt w:val="bullet"/>
      <w:lvlText w:val="•"/>
      <w:lvlJc w:val="left"/>
      <w:pPr>
        <w:ind w:left="4732" w:hanging="219"/>
      </w:pPr>
      <w:rPr>
        <w:rFonts w:hint="default"/>
      </w:rPr>
    </w:lvl>
    <w:lvl w:ilvl="6">
      <w:start w:val="0"/>
      <w:numFmt w:val="bullet"/>
      <w:lvlText w:val="•"/>
      <w:lvlJc w:val="left"/>
      <w:pPr>
        <w:ind w:left="5655" w:hanging="219"/>
      </w:pPr>
      <w:rPr>
        <w:rFonts w:hint="default"/>
      </w:rPr>
    </w:lvl>
    <w:lvl w:ilvl="7">
      <w:start w:val="0"/>
      <w:numFmt w:val="bullet"/>
      <w:lvlText w:val="•"/>
      <w:lvlJc w:val="left"/>
      <w:pPr>
        <w:ind w:left="6577" w:hanging="219"/>
      </w:pPr>
      <w:rPr>
        <w:rFonts w:hint="default"/>
      </w:rPr>
    </w:lvl>
    <w:lvl w:ilvl="8">
      <w:start w:val="0"/>
      <w:numFmt w:val="bullet"/>
      <w:lvlText w:val="•"/>
      <w:lvlJc w:val="left"/>
      <w:pPr>
        <w:ind w:left="7500" w:hanging="219"/>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0">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pPr>
    <w:rPr>
      <w:rFonts w:ascii="方正书宋_GBK" w:hAnsi="方正书宋_GBK" w:eastAsia="方正书宋_GBK" w:cs="方正书宋_GBK"/>
      <w:sz w:val="22"/>
      <w:szCs w:val="22"/>
    </w:rPr>
  </w:style>
  <w:style w:styleId="Heading1" w:type="paragraph">
    <w:name w:val="Heading 1"/>
    <w:basedOn w:val="Normal"/>
    <w:uiPriority w:val="1"/>
    <w:qFormat/>
    <w:pPr>
      <w:spacing w:line="339" w:lineRule="exact"/>
      <w:ind w:left="454"/>
      <w:outlineLvl w:val="1"/>
    </w:pPr>
    <w:rPr>
      <w:rFonts w:ascii="方正小标宋_GBK" w:hAnsi="方正小标宋_GBK" w:eastAsia="方正小标宋_GBK" w:cs="方正小标宋_GBK"/>
      <w:sz w:val="32"/>
      <w:szCs w:val="32"/>
    </w:rPr>
  </w:style>
  <w:style w:styleId="Heading2" w:type="paragraph">
    <w:name w:val="Heading 2"/>
    <w:basedOn w:val="Normal"/>
    <w:uiPriority w:val="1"/>
    <w:qFormat/>
    <w:pPr>
      <w:spacing w:before="42"/>
      <w:ind w:left="2995"/>
      <w:outlineLvl w:val="2"/>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2021-12-01T23:29:37Z</dcterms:created>
  <dcterms:modified xsi:type="dcterms:W3CDTF">2021-12-01T23:29:37Z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