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GF—2000—0302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686" w:right="376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定 作 合 同</w:t>
      </w:r>
    </w:p>
    <w:p>
      <w:pPr>
        <w:spacing w:before="152"/>
        <w:ind w:left="3686" w:right="376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2" w:val="left" w:leader="none"/>
        </w:tabs>
        <w:ind w:left="5937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：{合同编号}</w:t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：{</w:t>
      </w:r>
      <w:r>
        <w:rPr>
          <w:rFonts w:ascii="方正宋黑_GBK" w:eastAsia="方正宋黑_GBK" w:hint="eastAsia"/>
          <w:color w:val="231F20"/>
        </w:rPr>
        <w:t>定</w:t>
      </w:r>
      <w:r>
        <w:rPr>
          <w:color w:val="231F20"/>
        </w:rPr>
        <w:t>作人}</w:t>
        <w:tab/>
      </w:r>
      <w:r>
        <w:rPr>
          <w:rFonts w:ascii="方正宋黑_GBK" w:eastAsia="方正宋黑_GBK" w:hint="eastAsia"/>
          <w:color w:val="231F20"/>
        </w:rPr>
        <w:t>签订地点：{签订地点}</w:t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：{</w:t>
      </w:r>
      <w:r>
        <w:rPr>
          <w:color w:val="231F20"/>
        </w:rPr>
        <w:t>承揽人名</w:t>
      </w:r>
      <w:r>
        <w:rPr>
          <w:rFonts w:ascii="方正宋黑_GBK" w:eastAsia="方正宋黑_GBK" w:hint="eastAsia"/>
          <w:color w:val="231F20"/>
        </w:rPr>
        <w:t>称}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>签订</w:t>
      </w:r>
      <w:r>
        <w:rPr>
          <w:color w:val="231F20"/>
        </w:rPr>
        <w:t>时</w:t>
      </w:r>
      <w:r>
        <w:rPr>
          <w:color w:val="231F20"/>
          <w:u w:val="single" w:color="231F20"/>
        </w:rPr>
        <w:t>间：</w:t>
      </w:r>
      <w:r>
        <w:rPr>
          <w:color w:val="231F20"/>
        </w:rPr>
        <w:t>{年份} 年 {月份} 月 {日期} 日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879" w:val="left" w:leader="none"/>
        </w:tabs>
        <w:spacing w:before="202"/>
        <w:ind w:right="417"/>
        <w:jc w:val="right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定作物、数量、报酬、交付期限</w:t>
      </w:r>
    </w:p>
    <w:p>
      <w:pPr>
        <w:spacing w:line="264" w:lineRule="exact" w:before="183"/>
        <w:ind w:left="0" w:right="419" w:firstLine="0"/>
        <w:jc w:val="righ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866302pt;margin-top:9.697023pt;width:453.65pt;height:96.2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907"/>
                    <w:gridCol w:w="869"/>
                    <w:gridCol w:w="617"/>
                    <w:gridCol w:w="842"/>
                    <w:gridCol w:w="842"/>
                    <w:gridCol w:w="1000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  <w:gridCol w:w="249"/>
                  </w:tblGrid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定作物名称</w:t>
                        </w:r>
                      </w:p>
                    </w:tc>
                    <w:tc>
                      <w:tcPr>
                        <w:tcW w:w="90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规格型号</w:t>
                        </w:r>
                      </w:p>
                    </w:tc>
                    <w:tc>
                      <w:tcPr>
                        <w:tcW w:w="869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7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计量单位</w:t>
                        </w:r>
                      </w:p>
                    </w:tc>
                    <w:tc>
                      <w:tcPr>
                        <w:tcW w:w="617" w:type="dxa"/>
                        <w:vMerge w:val="restart"/>
                      </w:tcPr>
                      <w:p>
                        <w:pPr>
                          <w:pStyle w:val="TableParagraph"/>
                          <w:spacing w:before="98"/>
                          <w:ind w:left="12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数量</w:t>
                        </w: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88" w:type="dxa"/>
                        <w:gridSpan w:val="1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97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1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合计</w:t>
                        </w:r>
                      </w:p>
                    </w:tc>
                    <w:tc>
                      <w:tcPr>
                        <w:tcW w:w="2988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9042" w:type="dxa"/>
                        <w:gridSpan w:val="19"/>
                      </w:tcPr>
                      <w:p>
                        <w:pPr>
                          <w:pStyle w:val="TableParagraph"/>
                          <w:spacing w:line="250" w:lineRule="exact"/>
                          <w:ind w:left="27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合计人民币金额（大写）：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报酬</w:t>
      </w:r>
    </w:p>
    <w:p>
      <w:pPr>
        <w:tabs>
          <w:tab w:pos="842" w:val="left" w:leader="none"/>
        </w:tabs>
        <w:spacing w:line="264" w:lineRule="exact" w:before="0"/>
        <w:ind w:left="0" w:right="0" w:firstLine="0"/>
        <w:jc w:val="right"/>
        <w:rPr>
          <w:sz w:val="18"/>
        </w:rPr>
      </w:pPr>
      <w:r>
        <w:rPr>
          <w:color w:val="231F20"/>
          <w:sz w:val="18"/>
        </w:rPr>
        <w:t>单价</w:t>
        <w:tab/>
        <w:t>金额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557" w:right="0" w:firstLine="0"/>
        <w:jc w:val="left"/>
        <w:rPr>
          <w:sz w:val="18"/>
        </w:rPr>
      </w:pPr>
      <w:r>
        <w:rPr>
          <w:color w:val="231F20"/>
          <w:sz w:val="18"/>
        </w:rPr>
        <w:t>交货期限及数量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300" w:right="1220"/>
          <w:cols w:num="2" w:equalWidth="0">
            <w:col w:w="4937" w:space="1055"/>
            <w:col w:w="33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437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承揽人提供的材料</w:t>
      </w:r>
    </w:p>
    <w:p>
      <w:pPr>
        <w:spacing w:before="47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/>
      </w: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spacing w:after="0"/>
        <w:jc w:val="left"/>
        <w:rPr>
          <w:rFonts w:ascii="方正楷体_GBK" w:eastAsia="方正楷体_GBK" w:hint="eastAsia"/>
          <w:sz w:val="16"/>
        </w:rPr>
        <w:sectPr>
          <w:type w:val="continuous"/>
          <w:pgSz w:w="11910" w:h="16840"/>
          <w:pgMar w:top="1580" w:bottom="280" w:left="1300" w:right="1220"/>
          <w:cols w:num="2" w:equalWidth="0">
            <w:col w:w="3198" w:space="3153"/>
            <w:col w:w="3039"/>
          </w:cols>
        </w:sectPr>
      </w:pPr>
    </w:p>
    <w:p>
      <w:pPr>
        <w:pStyle w:val="BodyText"/>
        <w:spacing w:before="9"/>
        <w:rPr>
          <w:rFonts w:ascii="方正楷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spacing w:line="215" w:lineRule="exact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牌号商标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91"/>
              <w:rPr>
                <w:sz w:val="18"/>
              </w:rPr>
            </w:pPr>
            <w:r>
              <w:rPr>
                <w:color w:val="231F20"/>
                <w:sz w:val="18"/>
              </w:rPr>
              <w:t>用料数量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906" w:type="dxa"/>
          </w:tcPr>
          <w:p>
            <w:pPr>
              <w:pStyle w:val="TableParagraph"/>
              <w:spacing w:line="215" w:lineRule="exact"/>
              <w:ind w:left="271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"/>
        <w:rPr>
          <w:rFonts w:ascii="方正楷体_GBK"/>
          <w:sz w:val="14"/>
        </w:rPr>
      </w:pPr>
    </w:p>
    <w:p>
      <w:pPr>
        <w:spacing w:before="47"/>
        <w:ind w:left="6908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（注：{空格如不够用，可以另接}）</w:t>
      </w:r>
    </w:p>
    <w:p>
      <w:pPr>
        <w:pStyle w:val="BodyText"/>
        <w:spacing w:before="3"/>
        <w:rPr>
          <w:rFonts w:ascii="方正楷体_GBK"/>
          <w:sz w:val="21"/>
        </w:rPr>
      </w:pPr>
    </w:p>
    <w:p>
      <w:pPr>
        <w:pStyle w:val="BodyText"/>
        <w:tabs>
          <w:tab w:pos="9188" w:val="left" w:leader="none"/>
        </w:tabs>
        <w:spacing w:line="597" w:lineRule="auto" w:after="23"/>
        <w:ind w:left="557" w:right="194"/>
        <w:jc w:val="both"/>
        <w:rPr>
          <w:rFonts w:ascii="Times New Roman" w:eastAsia="Times New Roman"/>
        </w:rPr>
      </w:pPr>
      <w:r>
        <w:rPr/>
      </w: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定作人对承揽人提供的材料检验标准、方法、时间及提出异议的期限</w:t>
      </w:r>
      <w:r>
        <w:rPr>
          <w:color w:val="231F20"/>
          <w:u w:val="single" w:color="231F20"/>
        </w:rPr>
        <w:t>：{检</w:t>
      </w:r>
      <w:r>
        <w:rPr>
          <w:rFonts w:ascii="方正黑体_GBK" w:eastAsia="方正黑体_GBK" w:hint="eastAsia"/>
          <w:color w:val="231F20"/>
        </w:rPr>
        <w:t>验标准、方</w:t>
      </w:r>
      <w:r>
        <w:rPr>
          <w:rFonts w:ascii="方正黑体_GBK" w:eastAsia="方正黑体_GBK" w:hint="eastAsia"/>
          <w:color w:val="231F20"/>
          <w:spacing w:val="35"/>
        </w:rPr>
        <w:t>法</w:t>
      </w:r>
      <w:r>
        <w:rPr>
          <w:color w:val="231F20"/>
        </w:rPr>
        <w:t xml:space="preserve">、时间及异议期限}  </w:t>
        <w:br/>
        <w:t>第</w:t>
      </w:r>
      <w:r>
        <w:rPr>
          <w:color w:val="231F20"/>
          <w:u w:val="single" w:color="231F20"/>
        </w:rPr>
        <w:t xml:space="preserve">四条 </w:t>
      </w:r>
      <w:r>
        <w:rPr>
          <w:rFonts w:ascii="方正黑体_GBK" w:eastAsia="方正黑体_GBK" w:hint="eastAsia"/>
          <w:color w:val="231F20"/>
        </w:rPr>
        <w:t>定作物的技</w:t>
      </w:r>
      <w:r>
        <w:rPr>
          <w:rFonts w:ascii="方正黑体_GBK" w:eastAsia="方正黑体_GBK" w:hint="eastAsia"/>
          <w:color w:val="231F20"/>
          <w:spacing w:val="35"/>
        </w:rPr>
        <w:t>术</w:t>
      </w:r>
      <w:r>
        <w:rPr>
          <w:color w:val="231F20"/>
        </w:rPr>
        <w:t>标准、质量要求：{技术标准、质量要</w:t>
      </w:r>
      <w:r>
        <w:rPr>
          <w:color w:val="231F20"/>
          <w:u w:val="single" w:color="231F20"/>
        </w:rPr>
        <w:t xml:space="preserve">求} </w:t>
      </w:r>
      <w:r>
        <w:rPr>
          <w:rFonts w:ascii="方正黑体_GBK" w:eastAsia="方正黑体_GBK" w:hint="eastAsia"/>
          <w:color w:val="231F20"/>
        </w:rPr>
        <w:t xml:space="preserve"> </w:t>
        <w:br/>
        <w:t>第五条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 xml:space="preserve">承揽人对定作物质量负责的期限及条件：{质量负责期限及条件}  </w:t>
        <w:br/>
        <w:t>第</w:t>
      </w:r>
      <w:r>
        <w:rPr>
          <w:rFonts w:ascii="Times New Roman" w:eastAsia="Times New Roman"/>
          <w:color w:val="231F20"/>
          <w:u w:val="single" w:color="231F20"/>
        </w:rPr>
        <w:t>六条 定作人提供技术资料、图纸样品、工艺要求等的时间、办法及保密要求: {技术资料、图纸样品、工艺要求提供细节及保密要求}</w:t>
      </w: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1441" w:val="left" w:leader="none"/>
          <w:tab w:pos="4957" w:val="left" w:leader="none"/>
          <w:tab w:pos="7636" w:val="left" w:leader="none"/>
        </w:tabs>
        <w:spacing w:line="304" w:lineRule="auto" w:before="72"/>
        <w:ind w:left="117" w:right="194" w:firstLine="440"/>
      </w:pPr>
      <w:r>
        <w:rPr>
          <w:rFonts w:ascii="方正黑体_GBK" w:eastAsia="方正黑体_GBK" w:hint="eastAsia"/>
          <w:color w:val="231F20"/>
        </w:rPr>
        <w:t xml:space="preserve">第七条 </w:t>
      </w:r>
      <w:r>
        <w:rPr>
          <w:color w:val="231F20"/>
        </w:rPr>
        <w:t>承揽人发现定作方提供的图纸、技术要求不合理的，应在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合理反馈期限} 日内向定作人提出书面异议。定作人应在收</w:t>
      </w:r>
      <w:r>
        <w:rPr>
          <w:color w:val="231F20"/>
          <w:u w:val="single" w:color="231F20"/>
        </w:rPr>
        <w:t>到书</w:t>
      </w:r>
      <w:r>
        <w:rPr>
          <w:color w:val="231F20"/>
        </w:rPr>
        <w:t>面异议后的 {答复期限} 日内答复。</w:t>
      </w:r>
    </w:p>
    <w:p>
      <w:pPr>
        <w:pStyle w:val="BodyText"/>
        <w:rPr>
          <w:sz w:val="13"/>
        </w:rPr>
      </w:pPr>
    </w:p>
    <w:p>
      <w:pPr>
        <w:spacing w:before="9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定作物的包装要求及费用负担</w:t>
      </w:r>
      <w:r>
        <w:rPr>
          <w:color w:val="231F20"/>
          <w:u w:val="single" w:color="231F20"/>
        </w:rPr>
        <w:t>：{包装要求}</w:t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定作人（是 / {是否选项}）允许第三人完成定作物的主要工作。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定作物交付的方式及地点</w:t>
      </w:r>
      <w:r>
        <w:rPr>
          <w:color w:val="231F20"/>
          <w:u w:val="single" w:color="231F20"/>
        </w:rPr>
        <w:t>：{交付方式} {交付地点}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  <w:rPr>
          <w:rFonts w:ascii="Times New Roman" w:eastAsia="Times New Roman"/>
        </w:rPr>
      </w:pPr>
      <w:r>
        <w:rPr>
          <w:rFonts w:ascii="方正黑体_GBK" w:eastAsia="方正黑体_GBK" w:hint="eastAsia"/>
          <w:color w:val="231F20"/>
        </w:rPr>
        <w:t xml:space="preserve">第十一条 </w:t>
      </w:r>
      <w:r>
        <w:rPr>
          <w:color w:val="231F20"/>
        </w:rPr>
        <w:t>定作物检验标准、方法、地点及期限 :</w:t>
      </w:r>
      <w:r>
        <w:rPr>
          <w:rFonts w:ascii="Times New Roman" w:eastAsia="Times New Roman"/>
          <w:color w:val="231F20"/>
          <w:u w:val="single" w:color="231F20"/>
        </w:rPr>
        <w:t xml:space="preserve"> {检验标准}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9.176774pt" to="524.409096pt,9.17677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3197" w:val="left" w:leader="none"/>
          <w:tab w:pos="3857" w:val="left" w:leader="none"/>
          <w:tab w:pos="4517" w:val="left" w:leader="none"/>
          <w:tab w:pos="880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第十二条 </w:t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月}</w:t>
      </w:r>
      <w:r>
        <w:rPr>
          <w:color w:val="231F20"/>
        </w:rPr>
        <w:t xml:space="preserve"> {日} 前向承揽人预付材料</w:t>
      </w:r>
      <w:r>
        <w:rPr>
          <w:color w:val="231F20"/>
          <w:u w:val="single" w:color="231F20"/>
        </w:rPr>
        <w:t>款（</w:t>
      </w:r>
      <w:r>
        <w:rPr>
          <w:color w:val="231F20"/>
        </w:rPr>
        <w:t>大写）{金额} 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第十三条 </w:t>
      </w:r>
      <w:r>
        <w:rPr>
          <w:color w:val="231F20"/>
        </w:rPr>
        <w:t>报酬及材料费的结算方式及期限</w:t>
      </w:r>
      <w:r>
        <w:rPr>
          <w:color w:val="231F20"/>
          <w:u w:val="single" w:color="231F20"/>
        </w:rPr>
        <w:t>：{结算方式及期限}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3197" w:val="left" w:leader="none"/>
          <w:tab w:pos="3857" w:val="left" w:leader="none"/>
          <w:tab w:pos="4517" w:val="left" w:leader="none"/>
          <w:tab w:pos="7541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 xml:space="preserve">第十四条 </w:t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} </w:t>
      </w:r>
      <w:r>
        <w:rPr>
          <w:color w:val="231F20"/>
        </w:rPr>
        <w:t>{</w:t>
      </w:r>
      <w:r>
        <w:rPr>
          <w:color w:val="231F20"/>
          <w:u w:val="single" w:color="231F20"/>
        </w:rPr>
        <w:t>月}</w:t>
      </w:r>
      <w:r>
        <w:rPr>
          <w:color w:val="231F20"/>
        </w:rPr>
        <w:t xml:space="preserve"> {日} 前交定</w:t>
      </w:r>
      <w:r>
        <w:rPr>
          <w:color w:val="231F20"/>
          <w:u w:val="single" w:color="231F20"/>
        </w:rPr>
        <w:t>金（</w:t>
      </w:r>
      <w:r>
        <w:rPr>
          <w:color w:val="231F20"/>
        </w:rPr>
        <w:t>大写）{金额} 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：{解除条件}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定作人未向承揽人支付报酬或者材料费的，承揽</w:t>
      </w:r>
      <w:r>
        <w:rPr>
          <w:color w:val="231F20"/>
          <w:spacing w:val="-5"/>
        </w:rPr>
        <w:t>人</w:t>
      </w:r>
      <w:r>
        <w:rPr>
          <w:color w:val="231F20"/>
        </w:rPr>
        <w:t>（{是否}）</w:t>
      </w:r>
      <w:r>
        <w:rPr>
          <w:color w:val="231F20"/>
          <w:spacing w:val="-5"/>
        </w:rPr>
        <w:t>可</w:t>
      </w:r>
      <w:r>
        <w:rPr>
          <w:color w:val="231F20"/>
        </w:rPr>
        <w:t>以留置定作物。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 xml:space="preserve">第十七条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</w:tabs>
        <w:spacing w:line="304" w:lineRule="auto" w:before="57"/>
        <w:ind w:left="117" w:right="210" w:firstLine="440"/>
      </w:pPr>
      <w:r>
        <w:rPr>
          <w:rFonts w:ascii="方正黑体_GBK" w:eastAsia="方正黑体_GBK" w:hint="eastAsia"/>
          <w:color w:val="231F20"/>
        </w:rPr>
        <w:t xml:space="preserve">第十八条 </w:t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决；</w:t>
      </w:r>
      <w:r>
        <w:rPr>
          <w:color w:val="231F20"/>
          <w:spacing w:val="-55"/>
        </w:rPr>
        <w:t>也</w:t>
      </w:r>
      <w:r>
        <w:rPr>
          <w:color w:val="231F20"/>
        </w:rPr>
        <w:t>可由地工商行政管理部门调解；</w:t>
      </w:r>
      <w:r>
        <w:rPr>
          <w:color w:val="231F20"/>
          <w:spacing w:val="-55"/>
        </w:rPr>
        <w:t>协</w:t>
      </w:r>
      <w:r>
        <w:rPr>
          <w:color w:val="231F20"/>
        </w:rPr>
        <w:t xml:space="preserve">商或调解不成的，按下列第 </w:t>
      </w:r>
      <w:r>
        <w:rPr>
          <w:color w:val="231F20"/>
          <w:spacing w:val="-1"/>
        </w:rPr>
        <w:t>{</w:t>
      </w:r>
      <w:r>
        <w:rPr>
          <w:color w:val="231F20"/>
        </w:rPr>
        <w:t>争议解决方式} 种方式解决：</w:t>
      </w:r>
    </w:p>
    <w:p>
      <w:pPr>
        <w:pStyle w:val="BodyText"/>
        <w:tabs>
          <w:tab w:pos="308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第十九条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3019"/>
        <w:gridCol w:w="3019"/>
      </w:tblGrid>
      <w:tr>
        <w:trPr>
          <w:trHeight w:val="2940" w:hRule="atLeast"/>
        </w:trPr>
        <w:tc>
          <w:tcPr>
            <w:tcW w:w="3019" w:type="dxa"/>
          </w:tcPr>
          <w:p>
            <w:pPr>
              <w:pStyle w:val="TableParagraph"/>
              <w:spacing w:line="284" w:lineRule="exact" w:before="8"/>
              <w:ind w:left="1208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1645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5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19" w:type="dxa"/>
          </w:tcPr>
          <w:p>
            <w:pPr>
              <w:pStyle w:val="TableParagraph"/>
              <w:spacing w:line="284" w:lineRule="exact" w:before="8"/>
              <w:ind w:left="1208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4" w:right="1645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5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19" w:type="dxa"/>
          </w:tcPr>
          <w:p>
            <w:pPr>
              <w:pStyle w:val="TableParagraph"/>
              <w:spacing w:before="8"/>
              <w:ind w:left="708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4" w:right="92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鉴（公）证机关（章）： 经办人：</w:t>
            </w:r>
          </w:p>
          <w:p>
            <w:pPr>
              <w:pStyle w:val="TableParagraph"/>
              <w:tabs>
                <w:tab w:pos="1672" w:val="left" w:leader="none"/>
                <w:tab w:pos="2212" w:val="left" w:leader="none"/>
                <w:tab w:pos="2752" w:val="left" w:leader="none"/>
              </w:tabs>
              <w:spacing w:line="260" w:lineRule="exact"/>
              <w:ind w:left="952"/>
              <w:rPr>
                <w:sz w:val="18"/>
              </w:rPr>
            </w:pP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日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2021-12-01T23:29:06Z</dcterms:created>
  <dcterms:modified xsi:type="dcterms:W3CDTF">2021-12-01T23:29:06Z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