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GF—2001—0107</w:t>
      </w:r>
    </w:p>
    <w:p>
      <w:pPr>
        <w:pStyle w:val="BodyText"/>
        <w:spacing w:before="9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line="620" w:lineRule="exact" w:before="0"/>
        <w:ind w:left="100" w:right="4961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民用爆破器材买卖合同</w:t>
      </w:r>
    </w:p>
    <w:p>
      <w:pPr>
        <w:spacing w:line="394" w:lineRule="exact" w:before="0"/>
        <w:ind w:left="100" w:right="495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spacing w:after="0" w:line="394" w:lineRule="exact"/>
        <w:jc w:val="center"/>
        <w:rPr>
          <w:rFonts w:ascii="方正楷体_GBK" w:eastAsia="方正楷体_GBK" w:hint="eastAsia"/>
          <w:sz w:val="28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81" w:space="2778"/>
            <w:col w:w="9101"/>
          </w:cols>
        </w:sectPr>
      </w:pPr>
    </w:p>
    <w:p>
      <w:pPr>
        <w:pStyle w:val="BodyText"/>
        <w:tabs>
          <w:tab w:pos="3637" w:val="left" w:leader="none"/>
          <w:tab w:pos="7437" w:val="left" w:leader="none"/>
          <w:tab w:pos="11277" w:val="left" w:leader="none"/>
          <w:tab w:pos="13202" w:val="left" w:leader="none"/>
        </w:tabs>
        <w:spacing w:before="103"/>
        <w:ind w:left="11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231F20"/>
        </w:rPr>
        <w:t>生</w:t>
      </w:r>
      <w:r>
        <w:rPr>
          <w:color w:val="231F20"/>
        </w:rPr>
        <w:t>产企业：</w:t>
        <w:tab/>
        <w:t>产品名称：</w:t>
        <w:tab/>
        <w:t>签订地点：</w:t>
        <w:tab/>
        <w:t>执行年度：</w:t>
        <w:tab/>
        <w:t>年</w:t>
      </w:r>
    </w:p>
    <w:p>
      <w:pPr>
        <w:pStyle w:val="BodyText"/>
        <w:tabs>
          <w:tab w:pos="3637" w:val="left" w:leader="none"/>
          <w:tab w:pos="7437" w:val="left" w:leader="none"/>
          <w:tab w:pos="9142" w:val="left" w:leader="none"/>
          <w:tab w:pos="9802" w:val="left" w:leader="none"/>
          <w:tab w:pos="10462" w:val="left" w:leader="none"/>
          <w:tab w:pos="11277" w:val="left" w:leader="none"/>
        </w:tabs>
        <w:spacing w:before="44"/>
        <w:ind w:left="117"/>
      </w:pPr>
      <w:r>
        <w:rPr>
          <w:color w:val="231F20"/>
        </w:rPr>
        <w:t>企业凭照号：</w:t>
        <w:tab/>
        <w:t>计量单位：</w:t>
        <w:tab/>
        <w:t>签订时间：</w:t>
        <w:tab/>
        <w:t>年</w:t>
        <w:tab/>
        <w:t>月</w:t>
        <w:tab/>
        <w:t>日</w:t>
        <w:tab/>
        <w:t>合同编号：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687"/>
        <w:gridCol w:w="1374"/>
        <w:gridCol w:w="1374"/>
        <w:gridCol w:w="1319"/>
        <w:gridCol w:w="493"/>
        <w:gridCol w:w="1103"/>
        <w:gridCol w:w="1103"/>
        <w:gridCol w:w="1103"/>
        <w:gridCol w:w="624"/>
        <w:gridCol w:w="515"/>
        <w:gridCol w:w="3334"/>
      </w:tblGrid>
      <w:tr>
        <w:trPr>
          <w:trHeight w:val="240" w:hRule="atLeast"/>
        </w:trPr>
        <w:tc>
          <w:tcPr>
            <w:tcW w:w="1374" w:type="dxa"/>
            <w:gridSpan w:val="2"/>
            <w:vMerge w:val="restart"/>
          </w:tcPr>
          <w:p>
            <w:pPr>
              <w:pStyle w:val="TableParagraph"/>
              <w:spacing w:before="95"/>
              <w:ind w:left="325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374" w:type="dxa"/>
            <w:vMerge w:val="restart"/>
          </w:tcPr>
          <w:p>
            <w:pPr>
              <w:pStyle w:val="TableParagraph"/>
              <w:spacing w:before="95"/>
              <w:ind w:left="485" w:right="4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374" w:type="dxa"/>
            <w:vMerge w:val="restart"/>
          </w:tcPr>
          <w:p>
            <w:pPr>
              <w:pStyle w:val="TableParagraph"/>
              <w:spacing w:before="95"/>
              <w:ind w:left="234"/>
              <w:rPr>
                <w:sz w:val="18"/>
              </w:rPr>
            </w:pPr>
            <w:r>
              <w:rPr>
                <w:color w:val="231F20"/>
                <w:sz w:val="18"/>
              </w:rPr>
              <w:t>单价（元）</w:t>
            </w:r>
          </w:p>
        </w:tc>
        <w:tc>
          <w:tcPr>
            <w:tcW w:w="1812" w:type="dxa"/>
            <w:gridSpan w:val="2"/>
            <w:vMerge w:val="restart"/>
          </w:tcPr>
          <w:p>
            <w:pPr>
              <w:pStyle w:val="TableParagraph"/>
              <w:spacing w:before="95"/>
              <w:ind w:left="452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  <w:tc>
          <w:tcPr>
            <w:tcW w:w="4448" w:type="dxa"/>
            <w:gridSpan w:val="5"/>
          </w:tcPr>
          <w:p>
            <w:pPr>
              <w:pStyle w:val="TableParagraph"/>
              <w:spacing w:line="225" w:lineRule="exact"/>
              <w:ind w:left="1317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  <w:tc>
          <w:tcPr>
            <w:tcW w:w="3334" w:type="dxa"/>
            <w:vMerge w:val="restart"/>
          </w:tcPr>
          <w:p>
            <w:pPr>
              <w:pStyle w:val="TableParagraph"/>
              <w:spacing w:before="95"/>
              <w:ind w:left="1460" w:right="146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240" w:hRule="atLeast"/>
        </w:trPr>
        <w:tc>
          <w:tcPr>
            <w:tcW w:w="13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line="225" w:lineRule="exact"/>
              <w:ind w:left="276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1103" w:type="dxa"/>
          </w:tcPr>
          <w:p>
            <w:pPr>
              <w:pStyle w:val="TableParagraph"/>
              <w:spacing w:line="225" w:lineRule="exact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1103" w:type="dxa"/>
          </w:tcPr>
          <w:p>
            <w:pPr>
              <w:pStyle w:val="TableParagraph"/>
              <w:spacing w:line="225" w:lineRule="exact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spacing w:line="225" w:lineRule="exact"/>
              <w:ind w:left="291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13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3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3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4122" w:type="dxa"/>
            <w:gridSpan w:val="4"/>
          </w:tcPr>
          <w:p>
            <w:pPr>
              <w:pStyle w:val="TableParagraph"/>
              <w:spacing w:line="209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数量合计（大写）：</w:t>
            </w:r>
          </w:p>
        </w:tc>
        <w:tc>
          <w:tcPr>
            <w:tcW w:w="9594" w:type="dxa"/>
            <w:gridSpan w:val="8"/>
          </w:tcPr>
          <w:p>
            <w:pPr>
              <w:pStyle w:val="TableParagraph"/>
              <w:spacing w:line="209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金额合计（人民币大写）：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  <w:vMerge w:val="restart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1"/>
              <w:ind w:left="27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一、本合同按《中华人民共和国合同法》及国家有关民用爆破器材管理法规、规定执行。</w:t>
            </w: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49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六、验收标准、方法及提出异议的期限：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49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七、结算方式及期限：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4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二、质量标准、质量要求：</w:t>
            </w: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49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八、违约责任：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4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三、交（提）货地点、方式：</w:t>
            </w:r>
          </w:p>
        </w:tc>
        <w:tc>
          <w:tcPr>
            <w:tcW w:w="6679" w:type="dxa"/>
            <w:gridSpan w:val="5"/>
            <w:vMerge w:val="restart"/>
          </w:tcPr>
          <w:p>
            <w:pPr>
              <w:pStyle w:val="TableParagraph"/>
              <w:tabs>
                <w:tab w:pos="2542" w:val="left" w:leader="none"/>
              </w:tabs>
              <w:spacing w:line="230" w:lineRule="auto" w:before="5"/>
              <w:ind w:left="22" w:right="-29"/>
              <w:rPr>
                <w:sz w:val="18"/>
              </w:rPr>
            </w:pPr>
            <w:r>
              <w:rPr>
                <w:color w:val="231F20"/>
                <w:sz w:val="18"/>
              </w:rPr>
              <w:t>九</w:t>
            </w:r>
            <w:r>
              <w:rPr>
                <w:color w:val="231F20"/>
                <w:spacing w:val="-51"/>
                <w:sz w:val="18"/>
              </w:rPr>
              <w:t>、</w:t>
            </w:r>
            <w:r>
              <w:rPr>
                <w:color w:val="231F20"/>
                <w:sz w:val="18"/>
              </w:rPr>
              <w:t>合同争议的解决方</w:t>
            </w:r>
            <w:r>
              <w:rPr>
                <w:color w:val="231F20"/>
                <w:spacing w:val="-26"/>
                <w:sz w:val="18"/>
              </w:rPr>
              <w:t>式：</w:t>
            </w:r>
            <w:r>
              <w:rPr>
                <w:color w:val="231F20"/>
                <w:sz w:val="18"/>
              </w:rPr>
              <w:t>本合同在履行过程中发生的争议</w:t>
            </w:r>
            <w:r>
              <w:rPr>
                <w:color w:val="231F20"/>
                <w:spacing w:val="-51"/>
                <w:sz w:val="18"/>
              </w:rPr>
              <w:t>，</w:t>
            </w:r>
            <w:r>
              <w:rPr>
                <w:color w:val="231F20"/>
                <w:sz w:val="18"/>
              </w:rPr>
              <w:t>由双方当事人协商解</w:t>
            </w:r>
            <w:r>
              <w:rPr>
                <w:color w:val="231F20"/>
                <w:spacing w:val="-26"/>
                <w:sz w:val="18"/>
              </w:rPr>
              <w:t>决</w:t>
            </w:r>
            <w:r>
              <w:rPr>
                <w:color w:val="231F20"/>
                <w:sz w:val="18"/>
              </w:rPr>
              <w:t>； 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2542" w:val="left" w:leader="none"/>
              </w:tabs>
              <w:spacing w:line="260" w:lineRule="exact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仲裁委员会仲裁；（二）依法向人民法院起诉。</w:t>
            </w:r>
          </w:p>
        </w:tc>
      </w:tr>
      <w:tr>
        <w:trPr>
          <w:trHeight w:val="38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45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四、运输方式及到达站（港）和费用负担：</w:t>
            </w:r>
          </w:p>
        </w:tc>
        <w:tc>
          <w:tcPr>
            <w:tcW w:w="6679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53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五、包装标准、包装物的供应与回收和费用负担：</w:t>
            </w: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53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十、其他约定事项：</w:t>
            </w:r>
          </w:p>
        </w:tc>
      </w:tr>
      <w:tr>
        <w:trPr>
          <w:trHeight w:val="1100" w:hRule="atLeast"/>
        </w:trPr>
        <w:tc>
          <w:tcPr>
            <w:tcW w:w="6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4" w:type="dxa"/>
            <w:gridSpan w:val="4"/>
            <w:vMerge w:val="restart"/>
          </w:tcPr>
          <w:p>
            <w:pPr>
              <w:pStyle w:val="TableParagraph"/>
              <w:tabs>
                <w:tab w:pos="775" w:val="left" w:leader="none"/>
                <w:tab w:pos="2395" w:val="left" w:leader="none"/>
                <w:tab w:pos="3295" w:val="left" w:leader="none"/>
                <w:tab w:pos="4693" w:val="left" w:leader="none"/>
              </w:tabs>
              <w:spacing w:line="230" w:lineRule="auto" w:before="167"/>
              <w:ind w:left="55" w:right="48"/>
              <w:jc w:val="both"/>
              <w:rPr>
                <w:rFonts w:ascii="Times New Roman" w:eastAsia="Times New Roman"/>
                <w:sz w:val="18"/>
              </w:rPr>
            </w:pPr>
            <w:r>
              <w:rPr>
                <w:color w:val="231F20"/>
                <w:sz w:val="18"/>
              </w:rPr>
              <w:t>单位名称（章）：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单 位 </w:t>
            </w:r>
            <w:r>
              <w:rPr>
                <w:color w:val="231F20"/>
                <w:sz w:val="18"/>
              </w:rPr>
              <w:t>地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址：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z w:val="18"/>
              </w:rPr>
              <w:t>法定代表人：</w:t>
            </w:r>
            <w:r>
              <w:rPr>
                <w:color w:val="231F20"/>
                <w:sz w:val="18"/>
                <w:u w:val="single" w:color="231F20"/>
              </w:rPr>
              <w:tab/>
            </w:r>
            <w:r>
              <w:rPr>
                <w:color w:val="231F20"/>
                <w:sz w:val="18"/>
              </w:rPr>
              <w:t>委托代理人：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z w:val="18"/>
              </w:rPr>
              <w:t>电</w:t>
              <w:tab/>
              <w:t>话：</w:t>
            </w:r>
            <w:r>
              <w:rPr>
                <w:color w:val="231F20"/>
                <w:sz w:val="18"/>
                <w:u w:val="single" w:color="231F20"/>
              </w:rPr>
              <w:tab/>
            </w:r>
            <w:r>
              <w:rPr>
                <w:color w:val="231F20"/>
                <w:sz w:val="18"/>
              </w:rPr>
              <w:t>传</w:t>
              <w:tab/>
              <w:t>真：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pacing w:val="15"/>
                <w:sz w:val="18"/>
              </w:rPr>
              <w:t>开 户 </w:t>
            </w:r>
            <w:r>
              <w:rPr>
                <w:color w:val="231F20"/>
                <w:sz w:val="18"/>
              </w:rPr>
              <w:t>银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行：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z w:val="18"/>
              </w:rPr>
              <w:t>账</w:t>
              <w:tab/>
              <w:t>号：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邮 政 </w:t>
            </w:r>
            <w:r>
              <w:rPr>
                <w:color w:val="231F20"/>
                <w:sz w:val="18"/>
              </w:rPr>
              <w:t>编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码：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发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15"/>
                <w:sz w:val="18"/>
              </w:rPr>
              <w:t>货</w:t>
            </w:r>
            <w:r>
              <w:rPr>
                <w:color w:val="231F20"/>
                <w:sz w:val="18"/>
              </w:rPr>
              <w:t> 单</w:t>
            </w:r>
            <w:r>
              <w:rPr>
                <w:color w:val="231F20"/>
                <w:spacing w:val="15"/>
                <w:sz w:val="18"/>
              </w:rPr>
              <w:t> </w:t>
            </w:r>
            <w:r>
              <w:rPr>
                <w:color w:val="231F20"/>
                <w:sz w:val="18"/>
              </w:rPr>
              <w:t>位：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</w:r>
          </w:p>
        </w:tc>
        <w:tc>
          <w:tcPr>
            <w:tcW w:w="49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52" w:right="14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933" w:type="dxa"/>
            <w:gridSpan w:val="4"/>
            <w:vMerge w:val="restart"/>
          </w:tcPr>
          <w:p>
            <w:pPr>
              <w:pStyle w:val="TableParagraph"/>
              <w:tabs>
                <w:tab w:pos="743" w:val="left" w:leader="none"/>
                <w:tab w:pos="1643" w:val="left" w:leader="none"/>
                <w:tab w:pos="1823" w:val="left" w:leader="none"/>
                <w:tab w:pos="2543" w:val="left" w:leader="none"/>
                <w:tab w:pos="3897" w:val="left" w:leader="none"/>
              </w:tabs>
              <w:spacing w:line="230" w:lineRule="auto" w:before="167"/>
              <w:ind w:left="23" w:right="23"/>
              <w:jc w:val="both"/>
              <w:rPr>
                <w:rFonts w:ascii="Times New Roman" w:eastAsia="Times New Roman"/>
                <w:sz w:val="18"/>
              </w:rPr>
            </w:pPr>
            <w:r>
              <w:rPr>
                <w:color w:val="231F20"/>
                <w:sz w:val="18"/>
              </w:rPr>
              <w:t>单位名称（章）：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单 位 </w:t>
            </w:r>
            <w:r>
              <w:rPr>
                <w:color w:val="231F20"/>
                <w:sz w:val="18"/>
              </w:rPr>
              <w:t>地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址：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z w:val="18"/>
              </w:rPr>
              <w:t>法定代表人：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  <w:tab/>
            </w:r>
            <w:r>
              <w:rPr>
                <w:color w:val="231F20"/>
                <w:sz w:val="18"/>
              </w:rPr>
              <w:t>委托代理人：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z w:val="18"/>
              </w:rPr>
              <w:t>电</w:t>
              <w:tab/>
              <w:t>话：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  <w:tab/>
            </w:r>
            <w:r>
              <w:rPr>
                <w:color w:val="231F20"/>
                <w:sz w:val="18"/>
              </w:rPr>
              <w:t>传</w:t>
              <w:tab/>
              <w:t>真：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pacing w:val="15"/>
                <w:sz w:val="18"/>
              </w:rPr>
              <w:t>开 户 </w:t>
            </w:r>
            <w:r>
              <w:rPr>
                <w:color w:val="231F20"/>
                <w:sz w:val="18"/>
              </w:rPr>
              <w:t>银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行：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z w:val="18"/>
              </w:rPr>
              <w:t>账</w:t>
              <w:tab/>
              <w:t>号：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邮 政 </w:t>
            </w:r>
            <w:r>
              <w:rPr>
                <w:color w:val="231F20"/>
                <w:sz w:val="18"/>
              </w:rPr>
              <w:t>编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码：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收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15"/>
                <w:sz w:val="18"/>
              </w:rPr>
              <w:t>货</w:t>
            </w:r>
            <w:r>
              <w:rPr>
                <w:color w:val="231F20"/>
                <w:sz w:val="18"/>
              </w:rPr>
              <w:t> 单</w:t>
            </w:r>
            <w:r>
              <w:rPr>
                <w:color w:val="231F20"/>
                <w:spacing w:val="15"/>
                <w:sz w:val="18"/>
              </w:rPr>
              <w:t> </w:t>
            </w:r>
            <w:r>
              <w:rPr>
                <w:color w:val="231F20"/>
                <w:sz w:val="18"/>
              </w:rPr>
              <w:t>位：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spacing w:line="230" w:lineRule="auto" w:before="21"/>
              <w:ind w:left="20" w:right="2376"/>
              <w:rPr>
                <w:sz w:val="18"/>
              </w:rPr>
            </w:pPr>
            <w:r>
              <w:rPr>
                <w:color w:val="231F20"/>
                <w:sz w:val="18"/>
              </w:rPr>
              <w:t>民爆器材行业行 政管理部门审批：</w:t>
            </w:r>
          </w:p>
          <w:p>
            <w:pPr>
              <w:pStyle w:val="TableParagraph"/>
              <w:spacing w:line="230" w:lineRule="auto"/>
              <w:ind w:left="2755" w:right="2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（专用章）年    月    日</w:t>
            </w:r>
          </w:p>
        </w:tc>
      </w:tr>
      <w:tr>
        <w:trPr>
          <w:trHeight w:val="1320" w:hRule="atLeast"/>
        </w:trPr>
        <w:tc>
          <w:tcPr>
            <w:tcW w:w="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9" w:type="dxa"/>
            <w:gridSpan w:val="2"/>
          </w:tcPr>
          <w:p>
            <w:pPr>
              <w:pStyle w:val="TableParagraph"/>
              <w:spacing w:line="257" w:lineRule="exact"/>
              <w:ind w:left="20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 w:before="1"/>
              <w:ind w:left="1438" w:right="581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2456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tabs>
          <w:tab w:pos="9696" w:val="left" w:leader="none"/>
        </w:tabs>
        <w:spacing w:before="63"/>
        <w:ind w:left="6097" w:right="0" w:firstLine="0"/>
        <w:jc w:val="left"/>
        <w:rPr>
          <w:sz w:val="18"/>
        </w:rPr>
      </w:pPr>
      <w:r>
        <w:rPr/>
        <w:pict>
          <v:shape style="position:absolute;margin-left:82.746101pt;margin-top:-76.007668pt;width:11pt;height:29pt;mso-position-horizontal-relative:page;mso-position-vertical-relative:paragraph;z-index:-11752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出卖人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监管部门：国家工商行政管理总局</w:t>
        <w:tab/>
        <w:t>印刷单位：国防科工委民用爆破器材行业管理办公室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宋体">
    <w:altName w:val="宋体"/>
    <w:charset w:val="86"/>
    <w:family w:val="auto"/>
    <w:pitch w:val="variable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