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GF–2016–0157</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4"/>
        </w:rPr>
      </w:pPr>
    </w:p>
    <w:p>
      <w:pPr>
        <w:spacing w:line="577" w:lineRule="exact" w:before="0"/>
        <w:ind w:left="3235" w:right="3235" w:firstLine="0"/>
        <w:jc w:val="center"/>
        <w:rPr>
          <w:rFonts w:ascii="方正小标宋_GBK" w:eastAsia="方正小标宋_GBK" w:hint="eastAsia"/>
          <w:sz w:val="40"/>
        </w:rPr>
      </w:pPr>
      <w:r>
        <w:rPr>
          <w:rFonts w:ascii="方正小标宋_GBK" w:eastAsia="方正小标宋_GBK" w:hint="eastAsia"/>
          <w:color w:val="231F20"/>
          <w:sz w:val="40"/>
        </w:rPr>
        <w:t>生鲜乳购销合同</w:t>
      </w:r>
    </w:p>
    <w:p>
      <w:pPr>
        <w:pStyle w:val="Heading1"/>
        <w:spacing w:before="152"/>
        <w:ind w:left="3235" w:right="3235"/>
        <w:jc w:val="center"/>
      </w:pPr>
      <w:r>
        <w:rPr>
          <w:color w:val="231F20"/>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tabs>
          <w:tab w:pos="4255" w:val="left" w:leader="none"/>
          <w:tab w:pos="5515" w:val="left" w:leader="none"/>
        </w:tabs>
        <w:spacing w:before="261"/>
        <w:ind w:left="2995" w:right="0" w:firstLine="0"/>
        <w:jc w:val="left"/>
        <w:rPr>
          <w:rFonts w:ascii="方正楷体_GBK" w:eastAsia="方正楷体_GBK" w:hint="eastAsia"/>
          <w:sz w:val="28"/>
        </w:rPr>
      </w:pPr>
      <w:r>
        <w:rPr>
          <w:rFonts w:ascii="方正楷体_GBK" w:eastAsia="方正楷体_GBK" w:hint="eastAsia"/>
          <w:color w:val="231F20"/>
          <w:sz w:val="28"/>
        </w:rPr>
        <w:t>农</w:t>
        <w:tab/>
        <w:t>业</w:t>
        <w:tab/>
        <w:t>部</w:t>
      </w:r>
    </w:p>
    <w:p>
      <w:pPr>
        <w:tabs>
          <w:tab w:pos="6215" w:val="left" w:leader="none"/>
        </w:tabs>
        <w:spacing w:line="266" w:lineRule="auto" w:before="41"/>
        <w:ind w:left="2995" w:right="2528" w:firstLine="0"/>
        <w:jc w:val="left"/>
        <w:rPr>
          <w:rFonts w:ascii="方正楷体_GBK" w:eastAsia="方正楷体_GBK" w:hint="eastAsia"/>
          <w:sz w:val="28"/>
        </w:rPr>
      </w:pPr>
      <w:r>
        <w:rPr>
          <w:rFonts w:ascii="方正楷体_GBK" w:eastAsia="方正楷体_GBK" w:hint="eastAsia"/>
          <w:color w:val="231F20"/>
          <w:sz w:val="28"/>
        </w:rPr>
        <w:t xml:space="preserve">{工业和信息化部} 制定 </w:t>
      </w:r>
      <w:r>
        <w:rPr>
          <w:rFonts w:ascii="方正楷体_GBK" w:eastAsia="方正楷体_GBK" w:hint="eastAsia"/>
          <w:color w:val="231F20"/>
          <w:spacing w:val="-3"/>
          <w:sz w:val="28"/>
        </w:rPr>
        <w:t>{</w:t>
      </w:r>
      <w:r>
        <w:rPr>
          <w:rFonts w:ascii="方正楷体_GBK" w:eastAsia="方正楷体_GBK" w:hint="eastAsia"/>
          <w:color w:val="231F20"/>
          <w:sz w:val="28"/>
        </w:rPr>
        <w:t>国</w:t>
      </w:r>
      <w:r>
        <w:rPr>
          <w:rFonts w:ascii="方正楷体_GBK" w:eastAsia="方正楷体_GBK" w:hint="eastAsia"/>
          <w:color w:val="231F20"/>
          <w:spacing w:val="60"/>
          <w:sz w:val="28"/>
        </w:rPr>
        <w:t>家</w:t>
      </w:r>
      <w:r>
        <w:rPr>
          <w:rFonts w:ascii="方正楷体_GBK" w:eastAsia="方正楷体_GBK" w:hint="eastAsia"/>
          <w:color w:val="231F20"/>
          <w:sz w:val="28"/>
        </w:rPr>
        <w:t>工商行政管理总局}</w:t>
      </w:r>
    </w:p>
    <w:p>
      <w:pPr>
        <w:spacing w:after="0" w:line="266" w:lineRule="auto"/>
        <w:jc w:val="left"/>
        <w:rPr>
          <w:rFonts w:asci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tabs>
          <w:tab w:pos="4792" w:val="left" w:leader="none"/>
        </w:tabs>
        <w:spacing w:before="3"/>
        <w:ind w:left="4232" w:right="0" w:firstLine="0"/>
        <w:jc w:val="left"/>
        <w:rPr>
          <w:rFonts w:ascii="方正黑体_GBK" w:eastAsia="方正黑体_GBK" w:hint="eastAsia"/>
          <w:sz w:val="28"/>
        </w:rPr>
      </w:pPr>
      <w:r>
        <w:rPr>
          <w:rFonts w:ascii="方正黑体_GBK" w:eastAsia="方正黑体_GBK" w:hint="eastAsia"/>
          <w:color w:val="231F20"/>
          <w:sz w:val="28"/>
        </w:rPr>
        <w:t>说</w:t>
        <w:tab/>
        <w:t>明</w:t>
      </w:r>
    </w:p>
    <w:p>
      <w:pPr>
        <w:pStyle w:val="BodyText"/>
        <w:spacing w:before="13"/>
        <w:rPr>
          <w:rFonts w:ascii="方正黑体_GBK"/>
          <w:sz w:val="26"/>
        </w:rPr>
      </w:pPr>
    </w:p>
    <w:p>
      <w:pPr>
        <w:pStyle w:val="BodyText"/>
        <w:spacing w:line="319" w:lineRule="auto" w:before="1"/>
        <w:ind w:left="117" w:right="100" w:firstLine="440"/>
      </w:pPr>
      <w:r>
        <w:rPr>
          <w:color w:val="231F20"/>
          <w:spacing w:val="-1"/>
        </w:rPr>
        <w:t>1．</w:t>
      </w:r>
      <w:r>
        <w:rPr>
          <w:color w:val="231F20"/>
        </w:rPr>
        <w:t>本《生鲜乳购销合同（示范文本</w:t>
      </w:r>
      <w:r>
        <w:rPr>
          <w:color w:val="231F20"/>
          <w:spacing w:val="-55"/>
        </w:rPr>
        <w:t>）</w:t>
      </w:r>
      <w:r>
        <w:rPr>
          <w:color w:val="231F20"/>
        </w:rPr>
        <w:t>》由农业部、工业和信息化部、国家工商行政管理总局制定，供生鲜乳收购人、销售人、见证人签订生鲜乳购销合同时使用；</w:t>
      </w:r>
    </w:p>
    <w:p>
      <w:pPr>
        <w:pStyle w:val="BodyText"/>
        <w:spacing w:before="26"/>
        <w:ind w:left="557"/>
      </w:pPr>
      <w:r>
        <w:rPr>
          <w:color w:val="231F20"/>
        </w:rPr>
        <w:t>2．本合同中所称的生鲜乳是指未经加工的奶畜原奶；</w:t>
      </w:r>
    </w:p>
    <w:p>
      <w:pPr>
        <w:pStyle w:val="BodyText"/>
        <w:spacing w:before="109"/>
        <w:ind w:left="557"/>
      </w:pPr>
      <w:r>
        <w:rPr>
          <w:color w:val="231F20"/>
        </w:rPr>
        <w:t>3．本合同相关条款中的空白处，供收购人和销售人自行约定或补充约定。</w:t>
      </w:r>
    </w:p>
    <w:p>
      <w:pPr>
        <w:pStyle w:val="BodyText"/>
        <w:spacing w:before="109"/>
        <w:ind w:left="557"/>
      </w:pPr>
      <w:r>
        <w:rPr>
          <w:color w:val="231F20"/>
        </w:rPr>
        <w:t>4．本合同的见证人，根据收购人和销售人的约定，作为选择性条款。</w:t>
      </w:r>
    </w:p>
    <w:p>
      <w:pPr>
        <w:spacing w:after="0"/>
        <w:sectPr>
          <w:pgSz w:w="11910" w:h="16840"/>
          <w:pgMar w:header="0" w:footer="832" w:top="1580" w:bottom="1020" w:left="1300" w:right="1300"/>
        </w:sectPr>
      </w:pPr>
    </w:p>
    <w:p>
      <w:pPr>
        <w:pStyle w:val="BodyText"/>
        <w:spacing w:before="13"/>
        <w:rPr>
          <w:sz w:val="28"/>
        </w:rPr>
      </w:pPr>
    </w:p>
    <w:p>
      <w:pPr>
        <w:pStyle w:val="BodyText"/>
        <w:tabs>
          <w:tab w:pos="2447" w:val="left" w:leader="none"/>
        </w:tabs>
        <w:spacing w:before="24"/>
        <w:ind w:right="167"/>
        <w:jc w:val="right"/>
        <w:rPr>
          <w:rFonts w:ascii="方正黑体_GBK" w:eastAsia="方正黑体_GBK" w:hint="eastAsia"/>
        </w:rPr>
      </w:pPr>
      <w:r>
        <w:rPr>
          <w:rFonts w:ascii="方正黑体_GBK" w:eastAsia="方正黑体_GBK" w:hint="eastAsia"/>
          <w:color w:val="231F20"/>
        </w:rPr>
        <w:t>合同编号</w:t>
      </w:r>
      <w:r>
        <w:rPr>
          <w:rFonts w:ascii="方正黑体_GBK" w:eastAsia="方正黑体_GBK" w:hint="eastAsia"/>
          <w:color w:val="231F20"/>
          <w:u w:val="single" w:color="231F20"/>
        </w:rPr>
        <w:t>：{合同编号}</w:t>
      </w:r>
    </w:p>
    <w:p>
      <w:pPr>
        <w:pStyle w:val="BodyText"/>
        <w:rPr>
          <w:rFonts w:ascii="方正黑体_GBK"/>
          <w:sz w:val="20"/>
        </w:rPr>
      </w:pPr>
    </w:p>
    <w:p>
      <w:pPr>
        <w:pStyle w:val="BodyText"/>
        <w:rPr>
          <w:rFonts w:ascii="方正黑体_GBK"/>
          <w:sz w:val="20"/>
        </w:rPr>
      </w:pPr>
    </w:p>
    <w:p>
      <w:pPr>
        <w:pStyle w:val="BodyText"/>
        <w:spacing w:before="1"/>
        <w:rPr>
          <w:rFonts w:ascii="方正黑体_GBK"/>
          <w:sz w:val="19"/>
        </w:rPr>
      </w:pPr>
    </w:p>
    <w:p>
      <w:pPr>
        <w:pStyle w:val="Heading1"/>
        <w:ind w:left="3672"/>
        <w:rPr>
          <w:rFonts w:ascii="方正黑体_GBK" w:eastAsia="方正黑体_GBK" w:hint="eastAsia"/>
        </w:rPr>
      </w:pPr>
      <w:r>
        <w:rPr>
          <w:rFonts w:ascii="方正黑体_GBK" w:eastAsia="方正黑体_GBK" w:hint="eastAsia"/>
          <w:color w:val="231F20"/>
        </w:rPr>
        <w:t>生鲜乳购销合同</w:t>
      </w:r>
    </w:p>
    <w:p>
      <w:pPr>
        <w:pStyle w:val="BodyText"/>
        <w:spacing w:before="14"/>
        <w:rPr>
          <w:rFonts w:ascii="方正黑体_GBK"/>
          <w:sz w:val="26"/>
        </w:rPr>
      </w:pPr>
    </w:p>
    <w:p>
      <w:pPr>
        <w:pStyle w:val="BodyText"/>
        <w:tabs>
          <w:tab w:pos="9188" w:val="left" w:leader="none"/>
        </w:tabs>
        <w:spacing w:line="319" w:lineRule="auto"/>
        <w:ind w:left="557" w:right="110"/>
        <w:jc w:val="both"/>
      </w:pPr>
      <w:r>
        <w:rPr>
          <w:color w:val="231F20"/>
        </w:rPr>
        <w:t>{收购</w:t>
      </w:r>
      <w:r>
        <w:rPr>
          <w:color w:val="231F20"/>
          <w:u w:val="single" w:color="231F20"/>
        </w:rPr>
        <w:t>人}：</w:t>
      </w:r>
      <w:r>
        <w:rPr>
          <w:color w:val="231F20"/>
        </w:rPr>
        <w:tab/>
        <w:t xml:space="preserve"> {</w:t>
      </w:r>
      <w:r>
        <w:rPr>
          <w:color w:val="231F20"/>
          <w:u w:val="single" w:color="231F20"/>
        </w:rPr>
        <w:t>销售人</w:t>
      </w:r>
      <w:r>
        <w:rPr>
          <w:color w:val="231F20"/>
        </w:rPr>
        <w:t>}：</w:t>
        <w:tab/>
      </w:r>
      <w:r>
        <w:rPr>
          <w:color w:val="231F20"/>
          <w:u w:val="single" w:color="231F20"/>
        </w:rPr>
        <w:t xml:space="preserve"> {见证人}：</w:t>
        <w:tab/>
      </w:r>
    </w:p>
    <w:p>
      <w:pPr>
        <w:pStyle w:val="BodyText"/>
        <w:spacing w:before="14"/>
        <w:rPr>
          <w:sz w:val="30"/>
        </w:rPr>
      </w:pPr>
    </w:p>
    <w:p>
      <w:pPr>
        <w:pStyle w:val="BodyText"/>
        <w:spacing w:line="319" w:lineRule="auto" w:before="1"/>
        <w:ind w:left="117" w:firstLine="440"/>
      </w:pPr>
      <w:r>
        <w:rPr>
          <w:color w:val="231F20"/>
        </w:rPr>
        <w:t>根据《中华人民共和国合同法》和《乳品质量安全监督管理条例》的规定，收购人与销售人在平等、自愿、公平、诚信的基础上协商一致，经见证人见证，签订本合同。</w:t>
      </w:r>
    </w:p>
    <w:p>
      <w:pPr>
        <w:pStyle w:val="BodyText"/>
        <w:tabs>
          <w:tab w:pos="1437" w:val="left" w:leader="none"/>
        </w:tabs>
        <w:spacing w:before="20"/>
        <w:ind w:left="557"/>
      </w:pPr>
      <w:r>
        <w:rPr>
          <w:rFonts w:ascii="方正黑体_GBK" w:eastAsia="方正黑体_GBK" w:hint="eastAsia"/>
          <w:color w:val="231F20"/>
        </w:rPr>
        <w:t>第一条</w:t>
        <w:tab/>
      </w:r>
      <w:r>
        <w:rPr>
          <w:color w:val="231F20"/>
        </w:rPr>
        <w:t>收购时间与数量</w:t>
      </w:r>
    </w:p>
    <w:p>
      <w:pPr>
        <w:pStyle w:val="BodyText"/>
        <w:tabs>
          <w:tab w:pos="2920" w:val="left" w:leader="none"/>
          <w:tab w:pos="3580" w:val="left" w:leader="none"/>
          <w:tab w:pos="4240" w:val="left" w:leader="none"/>
          <w:tab w:pos="5560" w:val="left" w:leader="none"/>
          <w:tab w:pos="6220" w:val="left" w:leader="none"/>
          <w:tab w:pos="6880" w:val="left" w:leader="none"/>
        </w:tabs>
        <w:spacing w:before="109"/>
        <w:ind w:left="557"/>
      </w:pPr>
      <w:r>
        <w:rPr>
          <w:color w:val="231F20"/>
        </w:rPr>
        <w:t>1．收购时间为</w:t>
      </w:r>
      <w:r>
        <w:rPr>
          <w:color w:val="231F20"/>
          <w:u w:val="single" w:color="231F20"/>
        </w:rPr>
        <w:t xml:space="preserve"> {</w:t>
      </w:r>
      <w:r>
        <w:rPr>
          <w:color w:val="231F20"/>
        </w:rPr>
        <w:t>年</w:t>
      </w:r>
      <w:r>
        <w:rPr>
          <w:color w:val="231F20"/>
          <w:u w:val="single" w:color="231F20"/>
        </w:rPr>
        <w:t>份1</w:t>
      </w:r>
      <w:r>
        <w:rPr>
          <w:color w:val="231F20"/>
        </w:rPr>
        <w:t>}</w:t>
      </w:r>
      <w:r>
        <w:rPr>
          <w:color w:val="231F20"/>
          <w:u w:val="single" w:color="231F20"/>
        </w:rPr>
        <w:t xml:space="preserve"> 年</w:t>
      </w:r>
      <w:r>
        <w:rPr>
          <w:color w:val="231F20"/>
        </w:rPr>
        <w:t xml:space="preserve"> {</w:t>
      </w:r>
      <w:r>
        <w:rPr>
          <w:color w:val="231F20"/>
          <w:u w:val="single" w:color="231F20"/>
        </w:rPr>
        <w:t>月份</w:t>
      </w:r>
      <w:r>
        <w:rPr>
          <w:color w:val="231F20"/>
        </w:rPr>
        <w:t>1</w:t>
      </w:r>
      <w:r>
        <w:rPr>
          <w:color w:val="231F20"/>
          <w:u w:val="single" w:color="231F20"/>
        </w:rPr>
        <w:t xml:space="preserve">} </w:t>
      </w:r>
      <w:r>
        <w:rPr>
          <w:color w:val="231F20"/>
        </w:rPr>
        <w:t>月</w:t>
      </w:r>
      <w:r>
        <w:rPr>
          <w:color w:val="231F20"/>
          <w:u w:val="single" w:color="231F20"/>
        </w:rPr>
        <w:t xml:space="preserve"> {</w:t>
      </w:r>
      <w:r>
        <w:rPr>
          <w:color w:val="231F20"/>
        </w:rPr>
        <w:t>日期1} 日至 {年份2} 年 {月份2} 月 {日期2} 日。</w:t>
      </w:r>
    </w:p>
    <w:p>
      <w:pPr>
        <w:pStyle w:val="BodyText"/>
        <w:tabs>
          <w:tab w:pos="2697" w:val="left" w:leader="none"/>
          <w:tab w:pos="6879" w:val="left" w:leader="none"/>
        </w:tabs>
        <w:spacing w:before="109"/>
        <w:ind w:left="557"/>
      </w:pPr>
      <w:r>
        <w:rPr>
          <w:color w:val="231F20"/>
        </w:rPr>
        <w:t>2．收购量为</w:t>
      </w:r>
      <w:r>
        <w:rPr>
          <w:color w:val="231F20"/>
          <w:u w:val="single" w:color="231F20"/>
        </w:rPr>
        <w:t xml:space="preserve"> {</w:t>
      </w:r>
      <w:r>
        <w:rPr>
          <w:color w:val="231F20"/>
        </w:rPr>
        <w:t>收购</w:t>
      </w:r>
      <w:r>
        <w:rPr>
          <w:color w:val="231F20"/>
          <w:spacing w:val="-1"/>
        </w:rPr>
        <w:t>量</w:t>
      </w:r>
      <w:r>
        <w:rPr>
          <w:color w:val="231F20"/>
        </w:rPr>
        <w:t>}</w:t>
      </w:r>
      <w:r>
        <w:rPr>
          <w:color w:val="231F20"/>
          <w:spacing w:val="-1"/>
        </w:rPr>
        <w:t xml:space="preserve"> </w:t>
      </w:r>
      <w:r>
        <w:rPr>
          <w:color w:val="231F20"/>
        </w:rPr>
        <w:t>公斤 / 月，收购量上下</w:t>
      </w:r>
      <w:r>
        <w:rPr>
          <w:color w:val="231F20"/>
          <w:u w:val="single" w:color="231F20"/>
        </w:rPr>
        <w:t>浮动</w:t>
      </w:r>
      <w:r>
        <w:rPr>
          <w:color w:val="231F20"/>
        </w:rPr>
        <w:t>范围为：{浮动百分比}%。</w:t>
      </w:r>
    </w:p>
    <w:p>
      <w:pPr>
        <w:pStyle w:val="BodyText"/>
        <w:tabs>
          <w:tab w:pos="1437" w:val="left" w:leader="none"/>
        </w:tabs>
        <w:spacing w:before="103"/>
        <w:ind w:left="557"/>
      </w:pPr>
      <w:r>
        <w:rPr>
          <w:rFonts w:ascii="方正黑体_GBK" w:eastAsia="方正黑体_GBK" w:hint="eastAsia"/>
          <w:color w:val="231F20"/>
        </w:rPr>
        <w:t>第二条</w:t>
        <w:tab/>
      </w:r>
      <w:r>
        <w:rPr>
          <w:color w:val="231F20"/>
        </w:rPr>
        <w:t>收购价格</w:t>
      </w:r>
    </w:p>
    <w:p>
      <w:pPr>
        <w:pStyle w:val="BodyText"/>
        <w:tabs>
          <w:tab w:pos="3714" w:val="left" w:leader="none"/>
        </w:tabs>
        <w:spacing w:line="319" w:lineRule="auto" w:before="109"/>
        <w:ind w:left="117" w:right="112" w:firstLine="440"/>
      </w:pPr>
      <w:r>
        <w:rPr>
          <w:color w:val="231F20"/>
        </w:rPr>
        <w:t>生鲜乳收购基准价格为</w:t>
      </w:r>
      <w:r>
        <w:rPr>
          <w:color w:val="231F20"/>
          <w:u w:val="single" w:color="231F20"/>
        </w:rPr>
        <w:t xml:space="preserve"> {</w:t>
      </w:r>
      <w:r>
        <w:rPr>
          <w:color w:val="231F20"/>
        </w:rPr>
        <w:t>价</w:t>
      </w:r>
      <w:r>
        <w:rPr>
          <w:color w:val="231F20"/>
          <w:spacing w:val="10"/>
        </w:rPr>
        <w:t>格</w:t>
      </w:r>
      <w:r>
        <w:rPr>
          <w:color w:val="231F20"/>
        </w:rPr>
        <w:t>}</w:t>
      </w:r>
      <w:r>
        <w:rPr>
          <w:color w:val="231F20"/>
          <w:spacing w:val="10"/>
        </w:rPr>
        <w:t xml:space="preserve"> </w:t>
      </w:r>
      <w:r>
        <w:rPr>
          <w:color w:val="231F20"/>
        </w:rPr>
        <w:t>元 / 公斤，当地有生鲜乳价格协调委员会并公布交易参考价格的，收购人和销售人应参照交易参考价格协商确定生鲜乳收购价格。</w:t>
      </w:r>
    </w:p>
    <w:p>
      <w:pPr>
        <w:pStyle w:val="BodyText"/>
        <w:spacing w:line="319" w:lineRule="auto" w:before="26"/>
        <w:ind w:left="117" w:right="111" w:firstLine="440"/>
        <w:jc w:val="both"/>
      </w:pPr>
      <w:r>
        <w:rPr>
          <w:color w:val="231F20"/>
        </w:rPr>
        <w:t>为鼓励销售人提供优质生鲜乳，生鲜乳最终收购价格按收购人和销售人商定的质量等级有所浮动。生鲜乳质量等级应根据蛋白质含量、脂肪含量、非脂乳固体、菌落总数、体细胞数等指标确定。生鲜乳计价方案经收购人和销售人协商一致作为本合同的附件。</w:t>
      </w:r>
    </w:p>
    <w:p>
      <w:pPr>
        <w:pStyle w:val="BodyText"/>
        <w:tabs>
          <w:tab w:pos="1437" w:val="left" w:leader="none"/>
        </w:tabs>
        <w:spacing w:line="316" w:lineRule="auto" w:before="20"/>
        <w:ind w:left="557" w:right="5557"/>
      </w:pPr>
      <w:r>
        <w:rPr>
          <w:rFonts w:ascii="方正黑体_GBK" w:eastAsia="方正黑体_GBK" w:hint="eastAsia"/>
          <w:color w:val="231F20"/>
        </w:rPr>
        <w:t xml:space="preserve">第三条 </w:t>
      </w:r>
      <w:r>
        <w:rPr>
          <w:color w:val="231F20"/>
        </w:rPr>
        <w:t xml:space="preserve">质量要求 </w:t>
      </w:r>
      <w:r>
        <w:rPr>
          <w:color w:val="231F20"/>
          <w:spacing w:val="-1"/>
        </w:rPr>
        <w:t>{质量要求具体内容}</w:t>
      </w:r>
    </w:p>
    <w:p>
      <w:pPr>
        <w:pStyle w:val="BodyText"/>
        <w:spacing w:before="28"/>
        <w:ind w:left="447"/>
      </w:pPr>
      <w:r>
        <w:rPr>
          <w:color w:val="231F20"/>
        </w:rPr>
        <w:t>{ }乳品质量安全国家标准；</w:t>
      </w:r>
    </w:p>
    <w:p>
      <w:pPr>
        <w:pStyle w:val="BodyText"/>
        <w:spacing w:line="319" w:lineRule="auto" w:before="108"/>
        <w:ind w:left="557" w:right="2230" w:hanging="110"/>
      </w:pPr>
      <w:r>
        <w:rPr>
          <w:color w:val="231F20"/>
        </w:rPr>
        <w:t xml:space="preserve">{质量标准附件}  </w:t>
        <w:br/>
        <w:t>2．生鲜乳有下列情况的，销售人不得销售、收购人不得收购：</w:t>
      </w:r>
    </w:p>
    <w:p>
      <w:pPr>
        <w:pStyle w:val="BodyText"/>
        <w:spacing w:before="25"/>
        <w:ind w:left="447"/>
      </w:pPr>
      <w:r>
        <w:rPr>
          <w:color w:val="231F20"/>
        </w:rPr>
        <w:t>{检测结果}不符合健康标准或者未经检疫合格的奶畜产的生鲜乳；</w:t>
      </w:r>
    </w:p>
    <w:p>
      <w:pPr>
        <w:pStyle w:val="BodyText"/>
        <w:spacing w:before="109"/>
        <w:ind w:left="447"/>
      </w:pPr>
      <w:r>
        <w:rPr>
          <w:color w:val="231F20"/>
        </w:rPr>
        <w:t>{初乳类型}</w:t>
      </w:r>
    </w:p>
    <w:p>
      <w:pPr>
        <w:pStyle w:val="BodyText"/>
        <w:spacing w:before="109"/>
        <w:ind w:left="447"/>
      </w:pPr>
      <w:r>
        <w:rPr>
          <w:color w:val="231F20"/>
        </w:rPr>
        <w:t>{规定用药期}、{休药期}</w:t>
      </w:r>
    </w:p>
    <w:p>
      <w:pPr>
        <w:pStyle w:val="BodyText"/>
        <w:spacing w:before="109"/>
        <w:ind w:left="447"/>
      </w:pPr>
      <w:r>
        <w:rPr>
          <w:color w:val="231F20"/>
        </w:rPr>
        <w:t>{内容}</w:t>
      </w:r>
    </w:p>
    <w:p>
      <w:pPr>
        <w:pStyle w:val="BodyText"/>
        <w:spacing w:before="109"/>
        <w:ind w:left="447"/>
      </w:pPr>
      <w:r>
        <w:rPr>
          <w:color w:val="231F20"/>
        </w:rPr>
        <w:t>{ }其他不符合乳品质量安全国家标准的生鲜乳。</w:t>
      </w:r>
    </w:p>
    <w:p>
      <w:pPr>
        <w:pStyle w:val="BodyText"/>
        <w:spacing w:before="109"/>
        <w:ind w:left="557"/>
      </w:pPr>
      <w:r>
        <w:rPr>
          <w:color w:val="231F20"/>
        </w:rPr>
        <w:t>3．销售人交售的生鲜乳在生鲜乳收购站挤奶的，应遵守生鲜乳收购站的操作规定；销售</w:t>
      </w:r>
    </w:p>
    <w:p>
      <w:pPr>
        <w:spacing w:after="0"/>
        <w:sectPr>
          <w:pgSz w:w="11910" w:h="16840"/>
          <w:pgMar w:header="0" w:footer="832" w:top="1580" w:bottom="1020" w:left="1300" w:right="1300"/>
        </w:sectPr>
      </w:pPr>
    </w:p>
    <w:p>
      <w:pPr>
        <w:pStyle w:val="BodyText"/>
        <w:spacing w:line="319" w:lineRule="auto" w:before="24"/>
        <w:ind w:left="557" w:right="1793" w:hanging="440"/>
      </w:pPr>
      <w:r>
        <w:rPr>
          <w:color w:val="231F20"/>
        </w:rPr>
        <w:t>人自行挤奶的，要确保盛奶、挤奶器具清洁，不得使用塑料及有毒有害容器。4．贮存生鲜乳的容器，应当符合国家有关卫生标准。</w:t>
      </w:r>
    </w:p>
    <w:p>
      <w:pPr>
        <w:pStyle w:val="BodyText"/>
        <w:tabs>
          <w:tab w:pos="1437" w:val="left" w:leader="none"/>
        </w:tabs>
        <w:spacing w:before="19"/>
        <w:ind w:left="557"/>
      </w:pPr>
      <w:r>
        <w:rPr>
          <w:rFonts w:ascii="方正黑体_GBK" w:eastAsia="方正黑体_GBK" w:hint="eastAsia"/>
          <w:color w:val="231F20"/>
        </w:rPr>
        <w:t>第四条</w:t>
        <w:tab/>
      </w:r>
      <w:r>
        <w:rPr>
          <w:color w:val="231F20"/>
        </w:rPr>
        <w:t>结算方式</w:t>
      </w:r>
    </w:p>
    <w:p>
      <w:pPr>
        <w:pStyle w:val="BodyText"/>
        <w:spacing w:line="319" w:lineRule="auto" w:before="108"/>
        <w:ind w:left="117" w:right="213" w:firstLine="440"/>
        <w:jc w:val="both"/>
      </w:pPr>
      <w:r>
        <w:rPr>
          <w:color w:val="231F20"/>
        </w:rPr>
        <w:t>1</w:t>
      </w:r>
      <w:r>
        <w:rPr>
          <w:color w:val="231F20"/>
          <w:spacing w:val="0"/>
        </w:rPr>
        <w:t xml:space="preserve">．收购人应于本条第 </w:t>
      </w:r>
      <w:r>
        <w:rPr>
          <w:color w:val="231F20"/>
        </w:rPr>
        <w:t>2</w:t>
      </w:r>
      <w:r>
        <w:rPr>
          <w:color w:val="231F20"/>
          <w:spacing w:val="1"/>
        </w:rPr>
        <w:t xml:space="preserve"> 款约定的付款日期前至少两日，书面通知{销售人}结算货款的</w:t>
      </w:r>
      <w:r>
        <w:rPr>
          <w:color w:val="231F20"/>
        </w:rPr>
        <w:t>相关数据。如{销售人}对以上数据有异议，应于收到以上数据之日起两日内以书面形式提出</w:t>
      </w:r>
      <w:r>
        <w:rPr>
          <w:color w:val="231F20"/>
          <w:spacing w:val="-7"/>
        </w:rPr>
        <w:t>，否则视为{销售人}无异议；异议期间，收购人不支付货款，不承担逾期付款违约责任，但无异议部分的货款仍需按约定支付。异议解决后，收购人应在两日之内支付{异议部分}的货款。</w:t>
      </w:r>
    </w:p>
    <w:p>
      <w:pPr>
        <w:pStyle w:val="BodyText"/>
        <w:tabs>
          <w:tab w:pos="2367" w:val="left" w:leader="none"/>
        </w:tabs>
        <w:spacing w:line="319" w:lineRule="auto" w:before="25"/>
        <w:ind w:left="117" w:right="215" w:firstLine="440"/>
      </w:pPr>
      <w:r>
        <w:rPr>
          <w:color w:val="231F20"/>
        </w:rPr>
        <w:t>2．</w:t>
      </w:r>
      <w:r>
        <w:rPr>
          <w:color w:val="231F20"/>
          <w:spacing w:val="2"/>
        </w:rPr>
        <w:t>收购人应按照生鲜乳收购量按月支付货</w:t>
      </w:r>
      <w:r>
        <w:rPr>
          <w:color w:val="231F20"/>
        </w:rPr>
        <w:t>款</w:t>
      </w:r>
      <w:r>
        <w:rPr>
          <w:color w:val="231F20"/>
          <w:spacing w:val="2"/>
        </w:rPr>
        <w:t>，即当月结算并支付上个月的货</w:t>
      </w:r>
      <w:r>
        <w:rPr>
          <w:color w:val="231F20"/>
        </w:rPr>
        <w:t>款</w:t>
      </w:r>
      <w:r>
        <w:rPr>
          <w:color w:val="231F20"/>
          <w:spacing w:val="2"/>
        </w:rPr>
        <w:t>，具体付</w:t>
      </w:r>
      <w:r>
        <w:rPr>
          <w:color w:val="231F20"/>
        </w:rPr>
        <w:t>款日期为每月的</w:t>
      </w:r>
      <w:r>
        <w:rPr>
          <w:color w:val="231F20"/>
          <w:u w:val="single" w:color="231F20"/>
        </w:rPr>
        <w:t xml:space="preserve"> {</w:t>
      </w:r>
      <w:r>
        <w:rPr>
          <w:color w:val="231F20"/>
        </w:rPr>
        <w:t>付款日期} 前，支付地点为合同履行地。</w:t>
      </w:r>
    </w:p>
    <w:p>
      <w:pPr>
        <w:pStyle w:val="BodyText"/>
        <w:tabs>
          <w:tab w:pos="1437" w:val="left" w:leader="none"/>
        </w:tabs>
        <w:spacing w:before="19"/>
        <w:ind w:left="557"/>
      </w:pPr>
      <w:r>
        <w:rPr>
          <w:rFonts w:ascii="方正黑体_GBK" w:eastAsia="方正黑体_GBK" w:hint="eastAsia"/>
          <w:color w:val="231F20"/>
        </w:rPr>
        <w:t>第五条</w:t>
        <w:tab/>
      </w:r>
      <w:r>
        <w:rPr>
          <w:color w:val="231F20"/>
        </w:rPr>
        <w:t>检验方式</w:t>
      </w:r>
    </w:p>
    <w:p>
      <w:pPr>
        <w:pStyle w:val="BodyText"/>
        <w:spacing w:line="319" w:lineRule="auto" w:before="109"/>
        <w:ind w:left="117" w:right="103" w:firstLine="440"/>
      </w:pPr>
      <w:r>
        <w:rPr>
          <w:color w:val="231F20"/>
        </w:rPr>
        <w:t>1．收购人对销售人提供的生鲜乳进行抽样检验，并在收购之时起 {时间} 小时内公布脂肪含量、蛋白质含量等各项计价指标和其他常规检验结果。销售人对收购人公布的脂肪含量、蛋白质含量等各项计价指标和其他常规检验结果有异议的，应当在接到检验结果之时起 {时间} 小时内， 持质量检验单到具有相应资质的生鲜乳质量安全检测机构申请复检，由当地奶业协会根据检测结果出具调解意见。若确为收购人检验结果错误则须赔偿销售人的损失，并承担检测和调解所发生的费用。</w:t>
      </w:r>
    </w:p>
    <w:p>
      <w:pPr>
        <w:pStyle w:val="BodyText"/>
        <w:spacing w:before="26"/>
        <w:ind w:left="557"/>
      </w:pPr>
      <w:r>
        <w:rPr>
          <w:color w:val="231F20"/>
        </w:rPr>
        <w:t>2．收购人应将有异议的生鲜乳样品留存 {时间} 以上。</w:t>
      </w:r>
    </w:p>
    <w:p>
      <w:pPr>
        <w:pStyle w:val="BodyText"/>
        <w:spacing w:line="319" w:lineRule="auto" w:before="109"/>
        <w:ind w:left="117" w:right="215" w:firstLine="440"/>
      </w:pPr>
      <w:r>
        <w:rPr>
          <w:color w:val="231F20"/>
        </w:rPr>
        <w:t>3．收购人与销售人对数量发生争议时，以国家计量基准器具或者社会公用计量标准器具检定的数据为准，检定结果由收购人和销售人签字后各留一份。</w:t>
      </w:r>
    </w:p>
    <w:p>
      <w:pPr>
        <w:pStyle w:val="BodyText"/>
        <w:spacing w:before="25"/>
        <w:ind w:left="557"/>
      </w:pPr>
      <w:r>
        <w:rPr>
          <w:color w:val="231F20"/>
        </w:rPr>
        <w:t>4．销售人应当接受收购人对生鲜乳的检查及取样工作。</w:t>
      </w:r>
    </w:p>
    <w:p>
      <w:pPr>
        <w:pStyle w:val="BodyText"/>
        <w:spacing w:line="319" w:lineRule="auto" w:before="108"/>
        <w:ind w:left="117" w:right="210" w:firstLine="440"/>
        <w:jc w:val="both"/>
      </w:pPr>
      <w:r>
        <w:rPr>
          <w:color w:val="231F20"/>
        </w:rPr>
        <w:t>5．在本合同有效期内，如任何一方发现在生鲜乳生产、收购、贮存、运输、销售过程中存在或者可能存在添加任何物质的情况，应当立即向合同履行地人民政府畜牧兽医主管部门举报，并留存相关证据。</w:t>
      </w:r>
    </w:p>
    <w:p>
      <w:pPr>
        <w:pStyle w:val="BodyText"/>
        <w:tabs>
          <w:tab w:pos="1437" w:val="left" w:leader="none"/>
          <w:tab w:pos="3742" w:val="left" w:leader="none"/>
          <w:tab w:pos="4071" w:val="left" w:leader="none"/>
          <w:tab w:pos="4946" w:val="left" w:leader="none"/>
          <w:tab w:pos="5276" w:val="left" w:leader="none"/>
        </w:tabs>
        <w:spacing w:line="319" w:lineRule="auto" w:before="19"/>
        <w:ind w:left="557" w:right="3687"/>
      </w:pPr>
      <w:r>
        <w:rPr>
          <w:rFonts w:ascii="方正黑体_GBK" w:eastAsia="方正黑体_GBK" w:hint="eastAsia"/>
          <w:color w:val="231F20"/>
        </w:rPr>
        <w:t xml:space="preserve">第六条 </w:t>
      </w:r>
      <w:r>
        <w:rPr>
          <w:color w:val="231F20"/>
        </w:rPr>
        <w:t xml:space="preserve">交付时间和方式 </w:t>
      </w:r>
      <w:r>
        <w:rPr>
          <w:color w:val="231F20"/>
          <w:spacing w:val="-1"/>
        </w:rPr>
        <w:t xml:space="preserve">                                             </w:t>
      </w:r>
      <w:r>
        <w:rPr>
          <w:color w:val="231F20"/>
        </w:rPr>
        <w:t>1．销售人送货的时间为每日</w:t>
      </w:r>
      <w:r>
        <w:rPr>
          <w:color w:val="231F20"/>
          <w:u w:val="single" w:color="231F20"/>
        </w:rPr>
        <w:t xml:space="preserve"> {送</w:t>
      </w:r>
      <w:r>
        <w:rPr>
          <w:color w:val="231F20"/>
        </w:rPr>
        <w:t>貨開</w:t>
      </w:r>
      <w:r>
        <w:rPr>
          <w:color w:val="231F20"/>
          <w:u w:val="single" w:color="231F20"/>
        </w:rPr>
        <w:t>始時間</w:t>
      </w:r>
      <w:r>
        <w:rPr>
          <w:color w:val="231F20"/>
        </w:rPr>
        <w:t>} 时至 {送貨結束時間}</w:t>
      </w:r>
      <w:r>
        <w:rPr>
          <w:color w:val="231F20"/>
          <w:u w:val="single" w:color="231F20"/>
        </w:rPr>
        <w:t xml:space="preserve"> 时</w:t>
      </w:r>
      <w:r>
        <w:rPr>
          <w:color w:val="231F20"/>
        </w:rPr>
        <w:t>。收</w:t>
      </w:r>
      <w:r>
        <w:rPr>
          <w:color w:val="231F20"/>
          <w:u w:val="single" w:color="231F20"/>
        </w:rPr>
        <w:t>购人</w:t>
      </w:r>
      <w:r>
        <w:rPr>
          <w:color w:val="231F20"/>
        </w:rPr>
        <w:t>收购的时间为每日 {收購開始時間} 时至 {收購結束時間} 时。</w:t>
      </w:r>
    </w:p>
    <w:p>
      <w:pPr>
        <w:pStyle w:val="BodyText"/>
        <w:spacing w:before="25"/>
        <w:ind w:left="557"/>
      </w:pPr>
      <w:r>
        <w:rPr>
          <w:color w:val="231F20"/>
        </w:rPr>
        <w:t>2．经过称量、抽样、初步质量检验、签单，完成交付过程。</w:t>
      </w:r>
    </w:p>
    <w:p>
      <w:pPr>
        <w:pStyle w:val="BodyText"/>
        <w:tabs>
          <w:tab w:pos="8528" w:val="left" w:leader="none"/>
        </w:tabs>
        <w:spacing w:line="319" w:lineRule="auto" w:before="108"/>
        <w:ind w:left="117" w:right="215" w:firstLine="440"/>
      </w:pPr>
      <w:r>
        <w:rPr>
          <w:color w:val="231F20"/>
        </w:rPr>
        <w:t>3．销售人无法按时送奶或收购人无法按时收奶，应在至少</w:t>
      </w:r>
      <w:r>
        <w:rPr>
          <w:color w:val="231F20"/>
          <w:spacing w:val="-6"/>
        </w:rPr>
        <w:t xml:space="preserve"> </w:t>
      </w:r>
      <w:r>
        <w:rPr>
          <w:color w:val="231F20"/>
        </w:rPr>
        <w:t>24</w:t>
      </w:r>
      <w:r>
        <w:rPr>
          <w:color w:val="231F20"/>
          <w:spacing w:val="-6"/>
        </w:rPr>
        <w:t xml:space="preserve"> </w:t>
      </w:r>
      <w:r>
        <w:rPr>
          <w:color w:val="231F20"/>
        </w:rPr>
        <w:t>小时之前以</w:t>
      </w:r>
      <w:r>
        <w:rPr>
          <w:color w:val="231F20"/>
          <w:u w:val="single" w:color="231F20"/>
        </w:rPr>
        <w:t xml:space="preserve"> {</w:t>
      </w:r>
      <w:r>
        <w:rPr>
          <w:color w:val="231F20"/>
        </w:rPr>
        <w:t>通知方式} 通知对方，并承担给对方造成的损失。</w:t>
      </w:r>
    </w:p>
    <w:p>
      <w:pPr>
        <w:pStyle w:val="BodyText"/>
        <w:tabs>
          <w:tab w:pos="1437" w:val="left" w:leader="none"/>
        </w:tabs>
        <w:spacing w:before="19"/>
        <w:ind w:left="557"/>
      </w:pPr>
      <w:r>
        <w:rPr>
          <w:rFonts w:ascii="方正黑体_GBK" w:eastAsia="方正黑体_GBK" w:hint="eastAsia"/>
          <w:color w:val="231F20"/>
        </w:rPr>
        <w:t>第七条</w:t>
        <w:tab/>
      </w:r>
      <w:r>
        <w:rPr>
          <w:color w:val="231F20"/>
        </w:rPr>
        <w:t>履行地和履行期限</w:t>
      </w:r>
    </w:p>
    <w:p>
      <w:pPr>
        <w:pStyle w:val="BodyText"/>
        <w:tabs>
          <w:tab w:pos="6863" w:val="left" w:leader="none"/>
        </w:tabs>
        <w:spacing w:before="109"/>
        <w:ind w:left="557"/>
      </w:pPr>
      <w:r>
        <w:rPr>
          <w:color w:val="231F20"/>
        </w:rPr>
        <w:t>1．本合同履行地为</w:t>
      </w:r>
      <w:r>
        <w:rPr>
          <w:color w:val="231F20"/>
          <w:u w:val="single" w:color="231F20"/>
        </w:rPr>
        <w:t xml:space="preserve"> {</w:t>
      </w:r>
      <w:r>
        <w:rPr>
          <w:color w:val="231F20"/>
        </w:rPr>
        <w:t>履行地}；</w:t>
      </w:r>
    </w:p>
    <w:p>
      <w:pPr>
        <w:spacing w:after="0"/>
        <w:sectPr>
          <w:pgSz w:w="11910" w:h="16840"/>
          <w:pgMar w:header="0" w:footer="832" w:top="1580" w:bottom="1020" w:left="1300" w:right="1200"/>
        </w:sectPr>
      </w:pPr>
    </w:p>
    <w:p>
      <w:pPr>
        <w:pStyle w:val="BodyText"/>
        <w:tabs>
          <w:tab w:pos="2920" w:val="left" w:leader="none"/>
          <w:tab w:pos="3580" w:val="left" w:leader="none"/>
          <w:tab w:pos="4240" w:val="left" w:leader="none"/>
          <w:tab w:pos="5668" w:val="left" w:leader="none"/>
          <w:tab w:pos="6328" w:val="left" w:leader="none"/>
          <w:tab w:pos="6988" w:val="left" w:leader="none"/>
        </w:tabs>
        <w:spacing w:before="24"/>
        <w:ind w:left="557"/>
      </w:pPr>
      <w:r>
        <w:rPr>
          <w:color w:val="231F20"/>
        </w:rPr>
        <w:t>2．履行期限为</w:t>
      </w:r>
      <w:r>
        <w:rPr>
          <w:color w:val="231F20"/>
          <w:u w:val="single" w:color="231F20"/>
        </w:rPr>
        <w:t xml:space="preserve"> </w:t>
        <w:tab/>
      </w:r>
      <w:r>
        <w:rPr>
          <w:color w:val="231F20"/>
        </w:rPr>
        <w:t>{</w:t>
      </w:r>
      <w:r>
        <w:rPr>
          <w:color w:val="231F20"/>
          <w:u w:val="single" w:color="231F20"/>
        </w:rPr>
        <w:t>年}</w:t>
      </w:r>
      <w:r>
        <w:rPr>
          <w:color w:val="231F20"/>
        </w:rPr>
        <w:t xml:space="preserve"> </w:t>
      </w:r>
      <w:r>
        <w:rPr>
          <w:color w:val="231F20"/>
          <w:u w:val="single" w:color="231F20"/>
        </w:rPr>
        <w:tab/>
        <w:t>{</w:t>
      </w:r>
      <w:r>
        <w:rPr>
          <w:color w:val="231F20"/>
        </w:rPr>
        <w:t>月}</w:t>
      </w:r>
      <w:r>
        <w:rPr>
          <w:color w:val="231F20"/>
          <w:u w:val="single" w:color="231F20"/>
        </w:rPr>
        <w:t xml:space="preserve"> </w:t>
        <w:tab/>
      </w:r>
      <w:r>
        <w:rPr>
          <w:color w:val="231F20"/>
        </w:rPr>
        <w:t>日</w:t>
      </w:r>
      <w:r>
        <w:rPr>
          <w:color w:val="231F20"/>
          <w:u w:val="single" w:color="231F20"/>
        </w:rPr>
        <w:t xml:space="preserve">至 </w:t>
      </w:r>
      <w:r>
        <w:rPr>
          <w:color w:val="231F20"/>
        </w:rPr>
        <w:tab/>
      </w:r>
      <w:r>
        <w:rPr>
          <w:color w:val="231F20"/>
          <w:u w:val="single" w:color="231F20"/>
        </w:rPr>
        <w:t>{年</w:t>
      </w:r>
      <w:r>
        <w:rPr>
          <w:color w:val="231F20"/>
        </w:rPr>
        <w:t xml:space="preserve">} </w:t>
        <w:tab/>
        <w:t xml:space="preserve">{月} </w:t>
        <w:tab/>
        <w:t>日；</w:t>
      </w:r>
    </w:p>
    <w:p>
      <w:pPr>
        <w:pStyle w:val="BodyText"/>
        <w:spacing w:line="319" w:lineRule="auto" w:before="109"/>
        <w:ind w:left="117" w:right="215" w:firstLine="440"/>
      </w:pPr>
      <w:r>
        <w:rPr>
          <w:color w:val="231F20"/>
        </w:rPr>
        <w:t>3．合同到期如需续签的，则应在合同到期前完成新合同的签订；收购人和销售人中任何一方不同意续签的，应在合同到期前至少三个月书面通知另一方。</w:t>
      </w:r>
    </w:p>
    <w:p>
      <w:pPr>
        <w:pStyle w:val="BodyText"/>
        <w:tabs>
          <w:tab w:pos="1437" w:val="left" w:leader="none"/>
        </w:tabs>
        <w:spacing w:line="316" w:lineRule="auto" w:before="19"/>
        <w:ind w:left="557" w:right="1037"/>
      </w:pPr>
      <w:r>
        <w:rPr>
          <w:rFonts w:ascii="方正黑体_GBK" w:eastAsia="方正黑体_GBK" w:hint="eastAsia"/>
          <w:color w:val="231F20"/>
        </w:rPr>
        <w:t xml:space="preserve">第八条 </w:t>
      </w:r>
      <w:r>
        <w:rPr>
          <w:color w:val="231F20"/>
        </w:rPr>
        <w:t>{合同的变更和解除</w:t>
      </w:r>
      <w:r>
        <w:rPr>
          <w:color w:val="231F20"/>
          <w:spacing w:val="-1"/>
        </w:rPr>
        <w:t>}                                                                                          1．本合同经{收购人}与{销售人}协商一致，并达成书面协议，可以依法变更或解除。</w:t>
      </w:r>
    </w:p>
    <w:p>
      <w:pPr>
        <w:pStyle w:val="BodyText"/>
        <w:tabs>
          <w:tab w:pos="4349" w:val="left" w:leader="none"/>
          <w:tab w:pos="8088" w:val="left" w:leader="none"/>
        </w:tabs>
        <w:spacing w:line="319" w:lineRule="auto" w:before="28"/>
        <w:ind w:left="117" w:right="210" w:firstLine="440"/>
        <w:jc w:val="both"/>
      </w:pPr>
      <w:r>
        <w:rPr>
          <w:color w:val="231F20"/>
        </w:rPr>
        <w:t>2．</w:t>
      </w:r>
      <w:r>
        <w:rPr>
          <w:color w:val="231F20"/>
          <w:spacing w:val="2"/>
        </w:rPr>
        <w:t>发生不可抗力</w:t>
      </w:r>
      <w:r>
        <w:rPr>
          <w:color w:val="231F20"/>
        </w:rPr>
        <w:t>时</w:t>
      </w:r>
      <w:r>
        <w:rPr>
          <w:color w:val="231F20"/>
          <w:spacing w:val="2"/>
        </w:rPr>
        <w:t>，收购人和销售人可协商调整购销数</w:t>
      </w:r>
      <w:r>
        <w:rPr>
          <w:color w:val="231F20"/>
        </w:rPr>
        <w:t>量</w:t>
      </w:r>
      <w:r>
        <w:rPr>
          <w:color w:val="231F20"/>
          <w:spacing w:val="2"/>
        </w:rPr>
        <w:t>。因不可抗力导致无法履行合</w:t>
      </w:r>
      <w:r>
        <w:rPr>
          <w:color w:val="231F20"/>
        </w:rPr>
        <w:t>同的一方应当自不可抗力发生之日起</w:t>
      </w:r>
      <w:r>
        <w:rPr>
          <w:color w:val="231F20"/>
          <w:u w:val="single" w:color="231F20"/>
        </w:rPr>
        <w:t xml:space="preserve"> {</w:t>
      </w:r>
      <w:r>
        <w:rPr>
          <w:color w:val="231F20"/>
        </w:rPr>
        <w:t>通知期限} 日内以书面形式通</w:t>
      </w:r>
      <w:r>
        <w:rPr>
          <w:color w:val="231F20"/>
          <w:u w:val="single" w:color="231F20"/>
        </w:rPr>
        <w:t>知对</w:t>
      </w:r>
      <w:r>
        <w:rPr>
          <w:color w:val="231F20"/>
        </w:rPr>
        <w:t>方，并在 {证明期限} 日内提供有关机构出具的证明。</w:t>
      </w:r>
    </w:p>
    <w:p>
      <w:pPr>
        <w:pStyle w:val="BodyText"/>
        <w:tabs>
          <w:tab w:pos="1437" w:val="left" w:leader="none"/>
        </w:tabs>
        <w:spacing w:line="316" w:lineRule="auto" w:before="20"/>
        <w:ind w:left="557" w:right="215"/>
      </w:pPr>
      <w:r>
        <w:rPr>
          <w:rFonts w:ascii="方正黑体_GBK" w:eastAsia="方正黑体_GBK" w:hint="eastAsia"/>
          <w:color w:val="231F20"/>
        </w:rPr>
        <w:t xml:space="preserve">第九条 </w:t>
      </w:r>
      <w:r>
        <w:rPr>
          <w:color w:val="231F20"/>
        </w:rPr>
        <w:t xml:space="preserve">违约责任  </w:t>
        <w:br/>
        <w:t>1．{收购人或销售人}未按本合同第一条约定的时间和月收购量收购或销售生鲜乳的，当月</w:t>
      </w:r>
      <w:r>
        <w:rPr>
          <w:color w:val="231F20"/>
          <w:spacing w:val="2"/>
        </w:rPr>
      </w:r>
      <w:r>
        <w:rPr>
          <w:color w:val="231F20"/>
        </w:rPr>
      </w:r>
      <w:r>
        <w:rPr>
          <w:color w:val="231F20"/>
          <w:spacing w:val="2"/>
        </w:rPr>
      </w:r>
    </w:p>
    <w:p>
      <w:pPr>
        <w:pStyle w:val="BodyText"/>
        <w:tabs>
          <w:tab w:pos="3413" w:val="left" w:leader="none"/>
        </w:tabs>
        <w:spacing w:line="319" w:lineRule="auto" w:before="28"/>
        <w:ind w:left="557" w:right="215" w:hanging="440"/>
      </w:pPr>
      <w:r>
        <w:rPr>
          <w:color w:val="231F20"/>
        </w:rPr>
        <w:t>应向对方支付违约金</w:t>
      </w:r>
      <w:r>
        <w:rPr>
          <w:color w:val="231F20"/>
          <w:u w:val="single" w:color="231F20"/>
        </w:rPr>
        <w:t xml:space="preserve"> {</w:t>
      </w:r>
      <w:r>
        <w:rPr>
          <w:color w:val="231F20"/>
        </w:rPr>
        <w:t xml:space="preserve">违约金金额} 元。  </w:t>
        <w:br/>
        <w:t>2．销售人出售的生鲜乳不符合本合同第三条的约定，收购人不予收购，由此造成的经济损失由 {责任方} 承担。</w:t>
      </w:r>
      <w:r>
        <w:rPr>
          <w:color w:val="231F20"/>
          <w:spacing w:val="2"/>
        </w:rPr>
      </w:r>
      <w:r>
        <w:rPr>
          <w:color w:val="231F20"/>
        </w:rPr>
      </w:r>
      <w:r>
        <w:rPr>
          <w:color w:val="231F20"/>
          <w:spacing w:val="2"/>
        </w:rPr>
      </w:r>
      <w:r>
        <w:rPr>
          <w:color w:val="231F20"/>
        </w:rPr>
      </w:r>
      <w:r>
        <w:rPr>
          <w:color w:val="231F20"/>
          <w:spacing w:val="2"/>
        </w:rPr>
      </w:r>
    </w:p>
    <w:p>
      <w:pPr>
        <w:pStyle w:val="BodyText"/>
        <w:spacing w:before="25"/>
        <w:ind w:left="117"/>
      </w:pPr>
      <w:r>
        <w:rPr>
          <w:color w:val="231F20"/>
        </w:rPr>
        <w:t>损失由销售人承担。</w:t>
      </w:r>
    </w:p>
    <w:p>
      <w:pPr>
        <w:pStyle w:val="BodyText"/>
        <w:spacing w:line="319" w:lineRule="auto" w:before="109"/>
        <w:ind w:left="117" w:right="215" w:firstLine="440"/>
      </w:pPr>
      <w:r>
        <w:rPr>
          <w:color w:val="231F20"/>
        </w:rPr>
        <w:t>3．收购人不按时收购、随意提高标准、限收或拒收符合质量标准的生鲜乳，由此给销售人造成的损失应当由收购人承担。</w:t>
      </w:r>
    </w:p>
    <w:p>
      <w:pPr>
        <w:pStyle w:val="BodyText"/>
        <w:tabs>
          <w:tab w:pos="3413" w:val="left" w:leader="none"/>
        </w:tabs>
        <w:spacing w:line="319" w:lineRule="auto" w:before="26"/>
        <w:ind w:left="117" w:right="103" w:firstLine="440"/>
      </w:pPr>
      <w:r>
        <w:rPr>
          <w:color w:val="231F20"/>
        </w:rPr>
        <w:t>4．收购人违反本合同约定，拖欠销售人生鲜乳货款的，应当从合同约定支付货款之日起， 按日支付拖欠金额万分之</w:t>
      </w:r>
      <w:r>
        <w:rPr>
          <w:color w:val="231F20"/>
          <w:u w:val="single" w:color="231F20"/>
        </w:rPr>
        <w:t>{违</w:t>
      </w:r>
      <w:r>
        <w:rPr>
          <w:color w:val="231F20"/>
        </w:rPr>
        <w:t>约金比例}的违约金，并继续履行支付拖欠货款的义务。</w:t>
      </w:r>
    </w:p>
    <w:p>
      <w:pPr>
        <w:pStyle w:val="BodyText"/>
        <w:spacing w:line="319" w:lineRule="auto" w:before="26"/>
        <w:ind w:left="117" w:right="215" w:firstLine="440"/>
      </w:pPr>
      <w:r>
        <w:rPr>
          <w:color w:val="231F20"/>
        </w:rPr>
        <w:t>5．因不可抗力不能履行合同的，根据不可抗力的影响，部分或者全部免除责任，但法律另有规定的除外。当事人迟延履行后发生不可抗力的，不能免除责任。</w:t>
      </w:r>
    </w:p>
    <w:p>
      <w:pPr>
        <w:pStyle w:val="BodyText"/>
        <w:tabs>
          <w:tab w:pos="1437" w:val="left" w:leader="none"/>
        </w:tabs>
        <w:spacing w:before="20"/>
        <w:ind w:left="557"/>
      </w:pPr>
      <w:r>
        <w:rPr>
          <w:rFonts w:ascii="方正黑体_GBK" w:eastAsia="方正黑体_GBK" w:hint="eastAsia"/>
          <w:color w:val="231F20"/>
        </w:rPr>
        <w:t>第十条</w:t>
        <w:tab/>
      </w:r>
      <w:r>
        <w:rPr>
          <w:color w:val="231F20"/>
        </w:rPr>
        <w:t>争议解决方式</w:t>
      </w:r>
    </w:p>
    <w:p>
      <w:pPr>
        <w:pStyle w:val="BodyText"/>
        <w:spacing w:line="319" w:lineRule="auto" w:before="109"/>
        <w:ind w:left="117" w:right="215" w:firstLine="440"/>
      </w:pPr>
      <w:r>
        <w:rPr>
          <w:color w:val="231F20"/>
        </w:rPr>
        <w:t>本合同履行过程中所发生的争议，应由{收购人}与{销售人}协商解决或提交当地奶业协会调解解决；协商或调解不成的，{收购人}与{销售人}可采取以下方式解决：</w:t>
      </w:r>
    </w:p>
    <w:p>
      <w:pPr>
        <w:pStyle w:val="BodyText"/>
        <w:spacing w:line="319" w:lineRule="auto" w:before="25"/>
        <w:ind w:left="117" w:right="215" w:firstLine="440"/>
      </w:pPr>
      <w:r>
        <w:rPr>
          <w:color w:val="231F20"/>
        </w:rPr>
        <w:t>1．销售人为中小规模养殖场（户）的，应提交本合同第七条所述合同履行地有管辖权的人民法院诉讼解决；</w:t>
      </w:r>
    </w:p>
    <w:p>
      <w:pPr>
        <w:pStyle w:val="BodyText"/>
        <w:spacing w:line="319" w:lineRule="auto" w:before="25"/>
        <w:ind w:left="117" w:right="215" w:firstLine="440"/>
      </w:pPr>
      <w:r>
        <w:rPr>
          <w:color w:val="231F20"/>
        </w:rPr>
        <w:t>2．销售人为大型养殖企业的，提交收购人与销售人协商约定的争议解决地人民法院诉讼解决。</w:t>
      </w:r>
    </w:p>
    <w:p>
      <w:pPr>
        <w:pStyle w:val="BodyText"/>
        <w:tabs>
          <w:tab w:pos="1657" w:val="left" w:leader="none"/>
        </w:tabs>
        <w:spacing w:before="19"/>
        <w:ind w:left="557"/>
      </w:pPr>
      <w:r>
        <w:rPr>
          <w:rFonts w:ascii="方正黑体_GBK" w:eastAsia="方正黑体_GBK" w:hint="eastAsia"/>
          <w:color w:val="231F20"/>
        </w:rPr>
        <w:t>第十一条</w:t>
        <w:tab/>
      </w:r>
      <w:r>
        <w:rPr>
          <w:color w:val="231F20"/>
        </w:rPr>
        <w:t>其他</w:t>
      </w:r>
    </w:p>
    <w:p>
      <w:pPr>
        <w:pStyle w:val="BodyText"/>
        <w:spacing w:line="319" w:lineRule="auto" w:before="109"/>
        <w:ind w:left="117" w:right="215" w:firstLine="440"/>
      </w:pPr>
      <w:r>
        <w:rPr>
          <w:color w:val="231F20"/>
        </w:rPr>
        <w:t>1．本合同经三方签字或盖章生效，本合同一式三份，三方各执一份。未尽事宜，各方可协商签订书面补充协议。本合同附件以及补充协议具有同等的法律效力。</w:t>
      </w:r>
    </w:p>
    <w:p>
      <w:pPr>
        <w:pStyle w:val="BodyText"/>
        <w:spacing w:line="319" w:lineRule="auto" w:before="26"/>
        <w:ind w:left="117" w:right="215" w:firstLine="440"/>
      </w:pPr>
      <w:r>
        <w:rPr>
          <w:color w:val="231F20"/>
        </w:rPr>
        <w:t>2．本合同的见证人原则上应为本合同第七条所述合同履行地的奶业协会，当地没有奶业协会的，可为收购人、销售人共同认可的独立个人或组织。见证人不得因见证行为受益。</w:t>
      </w:r>
    </w:p>
    <w:p>
      <w:pPr>
        <w:spacing w:after="0" w:line="319" w:lineRule="auto"/>
        <w:sectPr>
          <w:pgSz w:w="11910" w:h="16840"/>
          <w:pgMar w:header="0" w:footer="832" w:top="1580" w:bottom="1020" w:left="1300" w:right="12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5"/>
        <w:gridCol w:w="2130"/>
        <w:gridCol w:w="780"/>
        <w:gridCol w:w="2455"/>
      </w:tblGrid>
      <w:tr>
        <w:trPr>
          <w:trHeight w:val="340" w:hRule="atLeast"/>
        </w:trPr>
        <w:tc>
          <w:tcPr>
            <w:tcW w:w="1985" w:type="dxa"/>
          </w:tcPr>
          <w:p>
            <w:pPr>
              <w:pStyle w:val="TableParagraph"/>
              <w:spacing w:line="253" w:lineRule="exact" w:before="0"/>
              <w:ind w:left="160"/>
              <w:rPr>
                <w:sz w:val="22"/>
              </w:rPr>
            </w:pPr>
            <w:r>
              <w:rPr>
                <w:color w:val="231F20"/>
                <w:sz w:val="22"/>
              </w:rPr>
              <w:t>收购人：</w:t>
            </w:r>
          </w:p>
        </w:tc>
        <w:tc>
          <w:tcPr>
            <w:tcW w:w="2130" w:type="dxa"/>
          </w:tcPr>
          <w:p>
            <w:pPr>
              <w:pStyle w:val="TableParagraph"/>
              <w:spacing w:line="253" w:lineRule="exact" w:before="0"/>
              <w:ind w:left="615"/>
              <w:rPr>
                <w:sz w:val="22"/>
              </w:rPr>
            </w:pPr>
            <w:r>
              <w:rPr>
                <w:color w:val="231F20"/>
                <w:sz w:val="22"/>
              </w:rPr>
              <w:t>销售人：</w:t>
            </w:r>
          </w:p>
        </w:tc>
        <w:tc>
          <w:tcPr>
            <w:tcW w:w="780" w:type="dxa"/>
          </w:tcPr>
          <w:p>
            <w:pPr>
              <w:pStyle w:val="TableParagraph"/>
              <w:spacing w:before="0"/>
              <w:rPr>
                <w:rFonts w:ascii="Times New Roman"/>
                <w:sz w:val="20"/>
              </w:rPr>
            </w:pPr>
          </w:p>
        </w:tc>
        <w:tc>
          <w:tcPr>
            <w:tcW w:w="2455" w:type="dxa"/>
          </w:tcPr>
          <w:p>
            <w:pPr>
              <w:pStyle w:val="TableParagraph"/>
              <w:spacing w:line="253" w:lineRule="exact" w:before="0"/>
              <w:ind w:left="585"/>
              <w:rPr>
                <w:sz w:val="22"/>
              </w:rPr>
            </w:pPr>
            <w:r>
              <w:rPr>
                <w:color w:val="231F20"/>
                <w:sz w:val="22"/>
              </w:rPr>
              <w:t>见证人：</w:t>
            </w:r>
          </w:p>
        </w:tc>
      </w:tr>
      <w:tr>
        <w:trPr>
          <w:trHeight w:val="440" w:hRule="atLeast"/>
        </w:trPr>
        <w:tc>
          <w:tcPr>
            <w:tcW w:w="1985" w:type="dxa"/>
          </w:tcPr>
          <w:p>
            <w:pPr>
              <w:pStyle w:val="TableParagraph"/>
              <w:ind w:left="50"/>
              <w:rPr>
                <w:sz w:val="22"/>
              </w:rPr>
            </w:pPr>
            <w:r>
              <w:rPr>
                <w:color w:val="231F20"/>
                <w:sz w:val="22"/>
              </w:rPr>
              <w:t>（盖章）</w:t>
            </w:r>
          </w:p>
        </w:tc>
        <w:tc>
          <w:tcPr>
            <w:tcW w:w="2130" w:type="dxa"/>
          </w:tcPr>
          <w:p>
            <w:pPr>
              <w:pStyle w:val="TableParagraph"/>
              <w:ind w:left="505"/>
              <w:rPr>
                <w:sz w:val="22"/>
              </w:rPr>
            </w:pPr>
            <w:r>
              <w:rPr>
                <w:color w:val="231F20"/>
                <w:sz w:val="22"/>
              </w:rPr>
              <w:t>（签字或盖章）</w:t>
            </w:r>
          </w:p>
        </w:tc>
        <w:tc>
          <w:tcPr>
            <w:tcW w:w="780" w:type="dxa"/>
          </w:tcPr>
          <w:p>
            <w:pPr>
              <w:pStyle w:val="TableParagraph"/>
              <w:spacing w:before="0"/>
              <w:rPr>
                <w:rFonts w:ascii="Times New Roman"/>
                <w:sz w:val="20"/>
              </w:rPr>
            </w:pPr>
          </w:p>
        </w:tc>
        <w:tc>
          <w:tcPr>
            <w:tcW w:w="2455" w:type="dxa"/>
          </w:tcPr>
          <w:p>
            <w:pPr>
              <w:pStyle w:val="TableParagraph"/>
              <w:ind w:left="475"/>
              <w:rPr>
                <w:sz w:val="22"/>
              </w:rPr>
            </w:pPr>
            <w:r>
              <w:rPr>
                <w:color w:val="231F20"/>
                <w:sz w:val="22"/>
              </w:rPr>
              <w:t>（签字或盖章）</w:t>
            </w:r>
          </w:p>
        </w:tc>
      </w:tr>
      <w:tr>
        <w:trPr>
          <w:trHeight w:val="440" w:hRule="atLeast"/>
        </w:trPr>
        <w:tc>
          <w:tcPr>
            <w:tcW w:w="1985" w:type="dxa"/>
          </w:tcPr>
          <w:p>
            <w:pPr>
              <w:pStyle w:val="TableParagraph"/>
              <w:ind w:left="160"/>
              <w:rPr>
                <w:sz w:val="22"/>
              </w:rPr>
            </w:pPr>
            <w:r>
              <w:rPr>
                <w:color w:val="231F20"/>
                <w:sz w:val="22"/>
              </w:rPr>
              <w:t>地址：</w:t>
            </w:r>
          </w:p>
        </w:tc>
        <w:tc>
          <w:tcPr>
            <w:tcW w:w="2130" w:type="dxa"/>
          </w:tcPr>
          <w:p>
            <w:pPr>
              <w:pStyle w:val="TableParagraph"/>
              <w:ind w:left="615"/>
              <w:rPr>
                <w:sz w:val="22"/>
              </w:rPr>
            </w:pPr>
            <w:r>
              <w:rPr>
                <w:color w:val="231F20"/>
                <w:sz w:val="22"/>
              </w:rPr>
              <w:t>地址：</w:t>
            </w:r>
          </w:p>
        </w:tc>
        <w:tc>
          <w:tcPr>
            <w:tcW w:w="780" w:type="dxa"/>
          </w:tcPr>
          <w:p>
            <w:pPr>
              <w:pStyle w:val="TableParagraph"/>
              <w:spacing w:before="0"/>
              <w:rPr>
                <w:rFonts w:ascii="Times New Roman"/>
                <w:sz w:val="20"/>
              </w:rPr>
            </w:pPr>
          </w:p>
        </w:tc>
        <w:tc>
          <w:tcPr>
            <w:tcW w:w="2455" w:type="dxa"/>
          </w:tcPr>
          <w:p>
            <w:pPr>
              <w:pStyle w:val="TableParagraph"/>
              <w:ind w:left="585"/>
              <w:rPr>
                <w:sz w:val="22"/>
              </w:rPr>
            </w:pPr>
            <w:r>
              <w:rPr>
                <w:color w:val="231F20"/>
                <w:sz w:val="22"/>
              </w:rPr>
              <w:t>地址：</w:t>
            </w:r>
          </w:p>
        </w:tc>
      </w:tr>
      <w:tr>
        <w:trPr>
          <w:trHeight w:val="440" w:hRule="atLeast"/>
        </w:trPr>
        <w:tc>
          <w:tcPr>
            <w:tcW w:w="1985" w:type="dxa"/>
          </w:tcPr>
          <w:p>
            <w:pPr>
              <w:pStyle w:val="TableParagraph"/>
              <w:ind w:left="160"/>
              <w:rPr>
                <w:sz w:val="22"/>
              </w:rPr>
            </w:pPr>
            <w:r>
              <w:rPr>
                <w:color w:val="231F20"/>
                <w:sz w:val="22"/>
              </w:rPr>
              <w:t>邮编：</w:t>
            </w:r>
          </w:p>
        </w:tc>
        <w:tc>
          <w:tcPr>
            <w:tcW w:w="2130" w:type="dxa"/>
          </w:tcPr>
          <w:p>
            <w:pPr>
              <w:pStyle w:val="TableParagraph"/>
              <w:ind w:left="615"/>
              <w:rPr>
                <w:sz w:val="22"/>
              </w:rPr>
            </w:pPr>
            <w:r>
              <w:rPr>
                <w:color w:val="231F20"/>
                <w:sz w:val="22"/>
              </w:rPr>
              <w:t>邮编：</w:t>
            </w:r>
          </w:p>
        </w:tc>
        <w:tc>
          <w:tcPr>
            <w:tcW w:w="780" w:type="dxa"/>
          </w:tcPr>
          <w:p>
            <w:pPr>
              <w:pStyle w:val="TableParagraph"/>
              <w:spacing w:before="0"/>
              <w:rPr>
                <w:rFonts w:ascii="Times New Roman"/>
                <w:sz w:val="20"/>
              </w:rPr>
            </w:pPr>
          </w:p>
        </w:tc>
        <w:tc>
          <w:tcPr>
            <w:tcW w:w="2455" w:type="dxa"/>
          </w:tcPr>
          <w:p>
            <w:pPr>
              <w:pStyle w:val="TableParagraph"/>
              <w:ind w:left="585"/>
              <w:rPr>
                <w:sz w:val="22"/>
              </w:rPr>
            </w:pPr>
            <w:r>
              <w:rPr>
                <w:color w:val="231F20"/>
                <w:sz w:val="22"/>
              </w:rPr>
              <w:t>邮编：</w:t>
            </w:r>
          </w:p>
        </w:tc>
      </w:tr>
      <w:tr>
        <w:trPr>
          <w:trHeight w:val="440" w:hRule="atLeast"/>
        </w:trPr>
        <w:tc>
          <w:tcPr>
            <w:tcW w:w="1985" w:type="dxa"/>
          </w:tcPr>
          <w:p>
            <w:pPr>
              <w:pStyle w:val="TableParagraph"/>
              <w:ind w:left="160"/>
              <w:rPr>
                <w:sz w:val="22"/>
              </w:rPr>
            </w:pPr>
            <w:r>
              <w:rPr>
                <w:color w:val="231F20"/>
                <w:sz w:val="22"/>
              </w:rPr>
              <w:t>电话：</w:t>
            </w:r>
          </w:p>
        </w:tc>
        <w:tc>
          <w:tcPr>
            <w:tcW w:w="2130" w:type="dxa"/>
          </w:tcPr>
          <w:p>
            <w:pPr>
              <w:pStyle w:val="TableParagraph"/>
              <w:ind w:left="615"/>
              <w:rPr>
                <w:sz w:val="22"/>
              </w:rPr>
            </w:pPr>
            <w:r>
              <w:rPr>
                <w:color w:val="231F20"/>
                <w:sz w:val="22"/>
              </w:rPr>
              <w:t>电话：</w:t>
            </w:r>
          </w:p>
        </w:tc>
        <w:tc>
          <w:tcPr>
            <w:tcW w:w="780" w:type="dxa"/>
          </w:tcPr>
          <w:p>
            <w:pPr>
              <w:pStyle w:val="TableParagraph"/>
              <w:spacing w:before="0"/>
              <w:rPr>
                <w:rFonts w:ascii="Times New Roman"/>
                <w:sz w:val="20"/>
              </w:rPr>
            </w:pPr>
          </w:p>
        </w:tc>
        <w:tc>
          <w:tcPr>
            <w:tcW w:w="2455" w:type="dxa"/>
          </w:tcPr>
          <w:p>
            <w:pPr>
              <w:pStyle w:val="TableParagraph"/>
              <w:ind w:left="585"/>
              <w:rPr>
                <w:sz w:val="22"/>
              </w:rPr>
            </w:pPr>
            <w:r>
              <w:rPr>
                <w:color w:val="231F20"/>
                <w:sz w:val="22"/>
              </w:rPr>
              <w:t>电话：</w:t>
            </w:r>
          </w:p>
        </w:tc>
      </w:tr>
      <w:tr>
        <w:trPr>
          <w:trHeight w:val="440" w:hRule="atLeast"/>
        </w:trPr>
        <w:tc>
          <w:tcPr>
            <w:tcW w:w="1985" w:type="dxa"/>
          </w:tcPr>
          <w:p>
            <w:pPr>
              <w:pStyle w:val="TableParagraph"/>
              <w:ind w:left="160"/>
              <w:rPr>
                <w:sz w:val="22"/>
              </w:rPr>
            </w:pPr>
            <w:r>
              <w:rPr>
                <w:color w:val="231F20"/>
                <w:sz w:val="22"/>
              </w:rPr>
              <w:t>电子邮箱：</w:t>
            </w:r>
          </w:p>
        </w:tc>
        <w:tc>
          <w:tcPr>
            <w:tcW w:w="2130" w:type="dxa"/>
          </w:tcPr>
          <w:p>
            <w:pPr>
              <w:pStyle w:val="TableParagraph"/>
              <w:ind w:left="615"/>
              <w:rPr>
                <w:sz w:val="22"/>
              </w:rPr>
            </w:pPr>
            <w:r>
              <w:rPr>
                <w:color w:val="231F20"/>
                <w:sz w:val="22"/>
              </w:rPr>
              <w:t>电子邮箱：</w:t>
            </w:r>
          </w:p>
        </w:tc>
        <w:tc>
          <w:tcPr>
            <w:tcW w:w="780" w:type="dxa"/>
          </w:tcPr>
          <w:p>
            <w:pPr>
              <w:pStyle w:val="TableParagraph"/>
              <w:spacing w:before="0"/>
              <w:rPr>
                <w:rFonts w:ascii="Times New Roman"/>
                <w:sz w:val="20"/>
              </w:rPr>
            </w:pPr>
          </w:p>
        </w:tc>
        <w:tc>
          <w:tcPr>
            <w:tcW w:w="2455" w:type="dxa"/>
          </w:tcPr>
          <w:p>
            <w:pPr>
              <w:pStyle w:val="TableParagraph"/>
              <w:ind w:left="585"/>
              <w:rPr>
                <w:sz w:val="22"/>
              </w:rPr>
            </w:pPr>
            <w:r>
              <w:rPr>
                <w:color w:val="231F20"/>
                <w:sz w:val="22"/>
              </w:rPr>
              <w:t>电子邮箱：</w:t>
            </w:r>
          </w:p>
        </w:tc>
      </w:tr>
      <w:tr>
        <w:trPr>
          <w:trHeight w:val="440" w:hRule="atLeast"/>
        </w:trPr>
        <w:tc>
          <w:tcPr>
            <w:tcW w:w="1985" w:type="dxa"/>
          </w:tcPr>
          <w:p>
            <w:pPr>
              <w:pStyle w:val="TableParagraph"/>
              <w:ind w:left="160"/>
              <w:rPr>
                <w:sz w:val="22"/>
              </w:rPr>
            </w:pPr>
            <w:r>
              <w:rPr>
                <w:color w:val="231F20"/>
                <w:sz w:val="22"/>
              </w:rPr>
              <w:t>法定代表人：</w:t>
            </w:r>
          </w:p>
        </w:tc>
        <w:tc>
          <w:tcPr>
            <w:tcW w:w="2130" w:type="dxa"/>
          </w:tcPr>
          <w:p>
            <w:pPr>
              <w:pStyle w:val="TableParagraph"/>
              <w:ind w:left="615"/>
              <w:rPr>
                <w:sz w:val="22"/>
              </w:rPr>
            </w:pPr>
            <w:r>
              <w:rPr>
                <w:color w:val="231F20"/>
                <w:sz w:val="22"/>
              </w:rPr>
              <w:t>法定代表人：</w:t>
            </w:r>
          </w:p>
        </w:tc>
        <w:tc>
          <w:tcPr>
            <w:tcW w:w="780" w:type="dxa"/>
          </w:tcPr>
          <w:p>
            <w:pPr>
              <w:pStyle w:val="TableParagraph"/>
              <w:spacing w:before="0"/>
              <w:rPr>
                <w:rFonts w:ascii="Times New Roman"/>
                <w:sz w:val="20"/>
              </w:rPr>
            </w:pPr>
          </w:p>
        </w:tc>
        <w:tc>
          <w:tcPr>
            <w:tcW w:w="2455" w:type="dxa"/>
          </w:tcPr>
          <w:p>
            <w:pPr>
              <w:pStyle w:val="TableParagraph"/>
              <w:ind w:left="585"/>
              <w:rPr>
                <w:sz w:val="22"/>
              </w:rPr>
            </w:pPr>
            <w:r>
              <w:rPr>
                <w:color w:val="231F20"/>
                <w:sz w:val="22"/>
              </w:rPr>
              <w:t>法定代表人：</w:t>
            </w:r>
          </w:p>
        </w:tc>
      </w:tr>
      <w:tr>
        <w:trPr>
          <w:trHeight w:val="440" w:hRule="atLeast"/>
        </w:trPr>
        <w:tc>
          <w:tcPr>
            <w:tcW w:w="1985" w:type="dxa"/>
          </w:tcPr>
          <w:p>
            <w:pPr>
              <w:pStyle w:val="TableParagraph"/>
              <w:ind w:left="160"/>
              <w:rPr>
                <w:sz w:val="22"/>
              </w:rPr>
            </w:pPr>
            <w:r>
              <w:rPr>
                <w:color w:val="231F20"/>
                <w:sz w:val="22"/>
              </w:rPr>
              <w:t>委托代理人：</w:t>
            </w:r>
          </w:p>
        </w:tc>
        <w:tc>
          <w:tcPr>
            <w:tcW w:w="2130" w:type="dxa"/>
          </w:tcPr>
          <w:p>
            <w:pPr>
              <w:pStyle w:val="TableParagraph"/>
              <w:ind w:left="615"/>
              <w:rPr>
                <w:sz w:val="22"/>
              </w:rPr>
            </w:pPr>
            <w:r>
              <w:rPr>
                <w:color w:val="231F20"/>
                <w:sz w:val="22"/>
              </w:rPr>
              <w:t>委托代理人：</w:t>
            </w:r>
          </w:p>
        </w:tc>
        <w:tc>
          <w:tcPr>
            <w:tcW w:w="780" w:type="dxa"/>
          </w:tcPr>
          <w:p>
            <w:pPr>
              <w:pStyle w:val="TableParagraph"/>
              <w:spacing w:before="0"/>
              <w:rPr>
                <w:rFonts w:ascii="Times New Roman"/>
                <w:sz w:val="20"/>
              </w:rPr>
            </w:pPr>
          </w:p>
        </w:tc>
        <w:tc>
          <w:tcPr>
            <w:tcW w:w="2455" w:type="dxa"/>
          </w:tcPr>
          <w:p>
            <w:pPr>
              <w:pStyle w:val="TableParagraph"/>
              <w:ind w:left="585"/>
              <w:rPr>
                <w:sz w:val="22"/>
              </w:rPr>
            </w:pPr>
            <w:r>
              <w:rPr>
                <w:color w:val="231F20"/>
                <w:sz w:val="22"/>
              </w:rPr>
              <w:t>委托代理人：</w:t>
            </w:r>
          </w:p>
        </w:tc>
      </w:tr>
      <w:tr>
        <w:trPr>
          <w:trHeight w:val="340" w:hRule="atLeast"/>
        </w:trPr>
        <w:tc>
          <w:tcPr>
            <w:tcW w:w="1985" w:type="dxa"/>
          </w:tcPr>
          <w:p>
            <w:pPr>
              <w:pStyle w:val="TableParagraph"/>
              <w:tabs>
                <w:tab w:pos="819" w:val="left" w:leader="none"/>
                <w:tab w:pos="1259" w:val="left" w:leader="none"/>
              </w:tabs>
              <w:spacing w:line="311" w:lineRule="exact"/>
              <w:ind w:left="380"/>
              <w:rPr>
                <w:sz w:val="22"/>
              </w:rPr>
            </w:pPr>
            <w:r>
              <w:rPr>
                <w:color w:val="231F20"/>
                <w:sz w:val="22"/>
              </w:rPr>
              <w:t>年</w:t>
              <w:tab/>
              <w:t>月</w:t>
              <w:tab/>
              <w:t>日</w:t>
            </w:r>
          </w:p>
        </w:tc>
        <w:tc>
          <w:tcPr>
            <w:tcW w:w="2130" w:type="dxa"/>
          </w:tcPr>
          <w:p>
            <w:pPr>
              <w:pStyle w:val="TableParagraph"/>
              <w:tabs>
                <w:tab w:pos="1774" w:val="left" w:leader="none"/>
              </w:tabs>
              <w:spacing w:line="311" w:lineRule="exact"/>
              <w:ind w:left="1335"/>
              <w:rPr>
                <w:sz w:val="22"/>
              </w:rPr>
            </w:pPr>
            <w:r>
              <w:rPr>
                <w:color w:val="231F20"/>
                <w:sz w:val="22"/>
              </w:rPr>
              <w:t>年</w:t>
              <w:tab/>
              <w:t>月</w:t>
            </w:r>
          </w:p>
        </w:tc>
        <w:tc>
          <w:tcPr>
            <w:tcW w:w="780" w:type="dxa"/>
          </w:tcPr>
          <w:p>
            <w:pPr>
              <w:pStyle w:val="TableParagraph"/>
              <w:spacing w:line="311" w:lineRule="exact"/>
              <w:ind w:left="85"/>
              <w:rPr>
                <w:sz w:val="22"/>
              </w:rPr>
            </w:pPr>
            <w:r>
              <w:rPr>
                <w:color w:val="231F20"/>
                <w:sz w:val="22"/>
              </w:rPr>
              <w:t>日</w:t>
            </w:r>
          </w:p>
        </w:tc>
        <w:tc>
          <w:tcPr>
            <w:tcW w:w="2455" w:type="dxa"/>
          </w:tcPr>
          <w:p>
            <w:pPr>
              <w:pStyle w:val="TableParagraph"/>
              <w:tabs>
                <w:tab w:pos="1745" w:val="left" w:leader="none"/>
                <w:tab w:pos="2185" w:val="left" w:leader="none"/>
              </w:tabs>
              <w:spacing w:line="311" w:lineRule="exact"/>
              <w:ind w:left="1305"/>
              <w:rPr>
                <w:sz w:val="22"/>
              </w:rPr>
            </w:pPr>
            <w:r>
              <w:rPr>
                <w:color w:val="231F20"/>
                <w:sz w:val="22"/>
              </w:rPr>
              <w:t>年</w:t>
              <w:tab/>
              <w:t>月</w:t>
              <w:tab/>
              <w:t>日</w:t>
            </w:r>
          </w:p>
        </w:tc>
      </w:tr>
    </w:tbl>
    <w:sectPr>
      <w:pgSz w:w="11910" w:h="16840"/>
      <w:pgMar w:header="0" w:footer="832" w:top="1580" w:bottom="102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728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726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3"/>
      <w:ind w:left="2995"/>
      <w:outlineLvl w:val="1"/>
    </w:pPr>
    <w:rPr>
      <w:rFonts w:ascii="方正楷体_GBK" w:hAnsi="方正楷体_GBK" w:eastAsia="方正楷体_GBK" w:cs="方正楷体_GBK"/>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5"/>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2021-12-01T23:29:47Z</dcterms:created>
  <dcterms:modified xsi:type="dcterms:W3CDTF">2021-12-01T23:29:47Z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