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GF—2000—1101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8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行纪合同</w:t>
      </w:r>
    </w:p>
    <w:p>
      <w:pPr>
        <w:spacing w:before="152"/>
        <w:ind w:left="3812" w:right="0" w:firstLine="0"/>
        <w:jc w:val="left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582" w:val="left" w:leader="none"/>
          <w:tab w:pos="4837" w:val="left" w:leader="none"/>
          <w:tab w:pos="6762" w:val="left" w:leader="none"/>
          <w:tab w:pos="8302" w:val="left" w:leader="none"/>
        </w:tabs>
        <w:spacing w:line="304" w:lineRule="auto"/>
        <w:ind w:left="557" w:right="1001" w:firstLine="4280"/>
        <w:jc w:val="both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</w:t>
      </w:r>
      <w:r>
        <w:rPr>
          <w:color w:val="231F20"/>
        </w:rPr>
        <w:t>编号}</w:t>
      </w:r>
      <w:r>
        <w:rPr>
          <w:color w:val="231F20"/>
          <w:u w:val="single" w:color="231F20"/>
        </w:rPr>
        <w:t xml:space="preserve">  </w:t>
      </w:r>
      <w:r>
        <w:rPr>
          <w:color w:val="231F20"/>
        </w:rPr>
        <w:br/>
        <w:t>行纪人：</w:t>
      </w:r>
      <w:r>
        <w:rPr>
          <w:color w:val="231F20"/>
          <w:u w:val="single" w:color="231F20"/>
        </w:rPr>
        <w:t>{行纪人</w:t>
      </w:r>
      <w:r>
        <w:rPr>
          <w:color w:val="231F20"/>
        </w:rPr>
        <w:t xml:space="preserve">}  </w:t>
      </w:r>
      <w:r>
        <w:rPr>
          <w:color w:val="231F20"/>
          <w:u w:val="single" w:color="231F20"/>
        </w:rPr>
        <w:br/>
        <w:t>签</w:t>
      </w:r>
      <w:r>
        <w:rPr>
          <w:color w:val="231F20"/>
        </w:rPr>
        <w:t>订地点：{</w:t>
      </w:r>
      <w:r>
        <w:rPr>
          <w:color w:val="231F20"/>
          <w:u w:val="single" w:color="231F20"/>
        </w:rPr>
        <w:t>签订</w:t>
      </w:r>
      <w:r>
        <w:rPr>
          <w:color w:val="231F20"/>
        </w:rPr>
        <w:t>地</w:t>
      </w:r>
      <w:r>
        <w:rPr>
          <w:color w:val="231F20"/>
          <w:u w:val="single" w:color="231F20"/>
        </w:rPr>
        <w:t xml:space="preserve">点}  </w:t>
        <w:br/>
        <w:t>委托人</w:t>
      </w:r>
      <w:r>
        <w:rPr>
          <w:color w:val="231F20"/>
        </w:rPr>
        <w:t>：{委托人</w:t>
      </w:r>
      <w:r>
        <w:rPr>
          <w:color w:val="231F20"/>
          <w:u w:val="single" w:color="231F20"/>
        </w:rPr>
        <w:t xml:space="preserve">}  </w:t>
      </w:r>
      <w:r>
        <w:rPr>
          <w:color w:val="231F20"/>
          <w:spacing w:val="12"/>
          <w:u w:val="single" w:color="231F20"/>
        </w:rPr>
        <w:br/>
      </w:r>
      <w:r>
        <w:rPr>
          <w:color w:val="231F20"/>
        </w:rPr>
        <w:t>签订时间：{年}        {月}        {日}</w: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委托人委托行纪人买入（卖出）的货物、数量、{价格}：</w:t>
      </w:r>
    </w:p>
    <w:p>
      <w:pPr>
        <w:pStyle w:val="BodyText"/>
        <w:spacing w:before="14" w:after="1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1015"/>
        <w:gridCol w:w="1015"/>
        <w:gridCol w:w="1015"/>
        <w:gridCol w:w="1015"/>
        <w:gridCol w:w="523"/>
        <w:gridCol w:w="906"/>
        <w:gridCol w:w="825"/>
        <w:gridCol w:w="865"/>
        <w:gridCol w:w="865"/>
      </w:tblGrid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spacing w:before="29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56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23" w:type="dxa"/>
          </w:tcPr>
          <w:p>
            <w:pPr>
              <w:pStyle w:val="TableParagraph"/>
              <w:spacing w:before="29"/>
              <w:ind w:left="8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06" w:type="dxa"/>
          </w:tcPr>
          <w:p>
            <w:pPr>
              <w:pStyle w:val="TableParagraph"/>
              <w:spacing w:before="29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825" w:type="dxa"/>
          </w:tcPr>
          <w:p>
            <w:pPr>
              <w:pStyle w:val="TableParagraph"/>
              <w:spacing w:before="29"/>
              <w:ind w:left="231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left="71"/>
              <w:rPr>
                <w:sz w:val="18"/>
              </w:rPr>
            </w:pPr>
            <w:r>
              <w:rPr>
                <w:color w:val="231F20"/>
                <w:sz w:val="18"/>
              </w:rPr>
              <w:t>质量标准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包装要求</w:t>
            </w: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59" w:type="dxa"/>
            <w:gridSpan w:val="10"/>
          </w:tcPr>
          <w:p>
            <w:pPr>
              <w:pStyle w:val="TableParagraph"/>
              <w:spacing w:before="2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(注：{空格数量}如不够用，可以另接){联系电话}</w:t>
      </w:r>
    </w:p>
    <w:p>
      <w:pPr>
        <w:pStyle w:val="BodyText"/>
        <w:tabs>
          <w:tab w:pos="9188" w:val="left" w:leader="none"/>
        </w:tabs>
        <w:spacing w:before="132"/>
        <w:ind w:left="557"/>
        <w:jc w:val="both"/>
      </w:pP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 xml:space="preserve">第二条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委托人将委托卖出的货物交付行纪人的时间{时间}、地点{地点}</w:t>
      </w:r>
      <w:r>
        <w:rPr>
          <w:color w:val="231F20"/>
          <w:u w:val="single" w:color="231F20"/>
        </w:rPr>
        <w:t>、方式{方式}及费用负担：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649pt" to="524.409096pt,20.69064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90647pt" to="524.409096pt,41.69064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第三条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行纪人将买入的货物交付给委托人的时间、地点、方式及费用负担</w:t>
      </w:r>
      <w:r>
        <w:rPr>
          <w:color w:val="231F20"/>
          <w:u w:val="single" w:color="231F20"/>
        </w:rPr>
        <w:t>：{交付时间}、{交付地点}、{交付方式}、{费用承担}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829pt" to="524.409096pt,20.67582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75831pt" to="524.409096pt,41.67583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第四条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委托人与行纪人{{结算货款的方式}}、{</w:t>
      </w:r>
      <w:r>
        <w:rPr>
          <w:color w:val="231F20"/>
          <w:u w:val="single" w:color="231F20"/>
        </w:rPr>
        <w:t>{地点}}及{{期限}}：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75730pt" to="524.409096pt,20.67573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44;mso-wrap-distance-left:0;mso-wrap-distance-right:0" from="70.866096pt,41.675831pt" to="524.409096pt,41.67583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602" w:lineRule="auto" w:before="57"/>
        <w:ind w:left="557" w:right="115"/>
        <w:jc w:val="both"/>
      </w:pPr>
      <w:r>
        <w:rPr>
          <w:rFonts w:ascii="方正黑体_GBK" w:eastAsia="方正黑体_GBK" w:hint="eastAsia"/>
          <w:color w:val="231F20"/>
        </w:rPr>
        <w:t>第五条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报酬的计算方式及支付期限</w:t>
      </w:r>
      <w:r>
        <w:rPr>
          <w:color w:val="231F20"/>
          <w:u w:val="single" w:color="231F20"/>
        </w:rPr>
        <w:t>：{报</w:t>
      </w:r>
      <w:r>
        <w:rPr>
          <w:rFonts w:ascii="方正黑体_GBK" w:eastAsia="方正黑体_GBK" w:hint="eastAsia"/>
          <w:color w:val="231F20"/>
        </w:rPr>
        <w:t>酬计算方式</w:t>
      </w:r>
      <w:r>
        <w:rPr>
          <w:rFonts w:ascii="方正黑体_GBK" w:eastAsia="方正黑体_GBK" w:hint="eastAsia"/>
          <w:color w:val="231F20"/>
          <w:spacing w:val="35"/>
        </w:rPr>
        <w:t>及</w:t>
      </w:r>
      <w:r>
        <w:rPr>
          <w:color w:val="231F20"/>
        </w:rPr>
        <w:t xml:space="preserve">支付期限}  </w:t>
        <w:br/>
        <w:t>第六条 行纪人以高于委托人指定的价格卖</w:t>
      </w:r>
      <w:r>
        <w:rPr>
          <w:color w:val="231F20"/>
          <w:u w:val="single" w:color="231F20"/>
        </w:rPr>
        <w:t>出货物</w:t>
      </w:r>
      <w:r>
        <w:rPr>
          <w:color w:val="231F20"/>
        </w:rPr>
        <w:t xml:space="preserve">时，报酬的计算方法：{高于指定价格卖出报酬计算方法} </w:t>
      </w:r>
      <w:r>
        <w:rPr>
          <w:color w:val="231F20"/>
          <w:u w:val="single" w:color="231F20"/>
        </w:rPr>
        <w:t xml:space="preserve"> </w:t>
        <w:br/>
        <w:t>行</w:t>
      </w:r>
      <w:r>
        <w:rPr>
          <w:rFonts w:ascii="方正黑体_GBK" w:eastAsia="方正黑体_GBK" w:hint="eastAsia"/>
          <w:color w:val="231F20"/>
        </w:rPr>
        <w:t>纪人以低于</w:t>
      </w:r>
      <w:r>
        <w:rPr>
          <w:rFonts w:ascii="方正黑体_GBK" w:eastAsia="方正黑体_GBK" w:hint="eastAsia"/>
          <w:color w:val="231F20"/>
          <w:spacing w:val="35"/>
        </w:rPr>
        <w:t>委</w:t>
      </w:r>
      <w:r>
        <w:rPr>
          <w:color w:val="231F20"/>
        </w:rPr>
        <w:t>托人指定的价格买入货物时，报酬的计算</w:t>
      </w:r>
      <w:r>
        <w:rPr>
          <w:color w:val="231F20"/>
          <w:u w:val="single" w:color="231F20"/>
        </w:rPr>
        <w:t xml:space="preserve">方法：{低于指定价格买入报酬计算方法}  </w:t>
        <w:br/>
        <w:t>第七条 委托人委托行纪人处理委托事务的期限为：{处理委托事务期限}</w:t>
      </w:r>
    </w:p>
    <w:p>
      <w:pPr>
        <w:spacing w:before="80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：{解除条件}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委托人未向行纪人支付报酬或货物的，行纪人（{是否}）可以留置货物。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 {违约责任内容}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41.658501pt" to="524.409096pt,41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{选</w:t>
      </w:r>
      <w:r>
        <w:rPr>
          <w:color w:val="231F20"/>
        </w:rPr>
        <w:t>择方式}种方式解决：</w:t>
      </w:r>
    </w:p>
    <w:p>
      <w:pPr>
        <w:pStyle w:val="BodyText"/>
        <w:tabs>
          <w:tab w:pos="2376" w:val="left" w:leader="none"/>
        </w:tabs>
        <w:spacing w:before="20"/>
        <w:ind w:left="557"/>
      </w:pPr>
      <w:r>
        <w:rPr>
          <w:color w:val="231F20"/>
        </w:rPr>
        <w:t>（一）</w:t>
      </w:r>
      <w:r>
        <w:rPr>
          <w:color w:val="231F20"/>
          <w:spacing w:val="-56"/>
        </w:rPr>
        <w:t>提</w:t>
      </w:r>
      <w:r>
        <w:rPr>
          <w:color w:val="231F20"/>
        </w:rPr>
        <w:t xml:space="preserve">交 </w:t>
      </w:r>
      <w:r>
        <w:rPr>
          <w:color w:val="231F20"/>
          <w:u w:val="single" w:color="231F20"/>
        </w:rPr>
        <w:t>{仲</w:t>
      </w:r>
      <w:r>
        <w:rPr>
          <w:color w:val="231F20"/>
        </w:rPr>
        <w:t>裁委员会} 仲裁；</w:t>
      </w:r>
    </w:p>
    <w:p>
      <w:pPr>
        <w:pStyle w:val="BodyText"/>
        <w:spacing w:before="88"/>
        <w:ind w:left="557"/>
      </w:pPr>
      <w:r>
        <w:rPr>
          <w:color w:val="231F20"/>
        </w:rPr>
        <w:t>( 二</w:t>
      </w:r>
      <w:r>
        <w:rPr>
          <w:color w:val="231F20"/>
          <w:spacing w:val="-56"/>
        </w:rPr>
        <w:t>）</w:t>
      </w:r>
      <w:r>
        <w:rPr>
          <w:color w:val="231F20"/>
        </w:rPr>
        <w:t>依法向{人民法院}起诉。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第十二条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本合同未作规定的，按《中华人民共和国合同法》的规定执行。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320" w:hRule="atLeast"/>
        </w:trPr>
        <w:tc>
          <w:tcPr>
            <w:tcW w:w="3021" w:type="dxa"/>
          </w:tcPr>
          <w:p>
            <w:pPr>
              <w:pStyle w:val="TableParagraph"/>
              <w:spacing w:before="76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委托人</w:t>
            </w: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委托人（章）：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76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行纪人</w:t>
            </w: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行纪人（章）：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76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before="1"/>
              <w:ind w:left="1630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446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