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tabs>
          <w:tab w:val="clear" w:pos="420"/>
          <w:tab w:val="left" w:pos="910" w:leader="none"/>
        </w:tabs>
        <w:spacing w:lineRule="auto" w:line="240"/>
        <w:ind w:hanging="0" w:end="0"/>
        <w:rPr>
          <w:rFonts w:ascii="黑体;方正黑体_GBK" w:hAnsi="黑体;方正黑体_GBK" w:eastAsia="黑体;方正黑体_GBK" w:cs="黑体;方正黑体_GBK"/>
          <w:kern w:val="2"/>
          <w:sz w:val="18"/>
          <w:szCs w:val="18"/>
        </w:rPr>
      </w:pPr>
      <w:r>
        <w:rPr>
          <w:rFonts w:eastAsia="黑体;方正黑体_GBK" w:cs="黑体;方正黑体_GBK" w:ascii="黑体;方正黑体_GBK" w:hAnsi="黑体;方正黑体_GBK"/>
          <w:sz w:val="18"/>
          <w:szCs w:val="18"/>
        </w:rPr>
        <w:t>BTHF—2018—0101</w:t>
      </w:r>
      <w:r>
        <w:rPr>
          <w:rFonts w:eastAsia="黑体;方正黑体_GBK" w:cs="黑体;方正黑体_GBK" w:ascii="黑体;方正黑体_GBK" w:hAnsi="黑体;方正黑体_GBK"/>
          <w:kern w:val="2"/>
          <w:sz w:val="18"/>
          <w:szCs w:val="18"/>
        </w:rPr>
        <w:t xml:space="preserve"> {合同编号：}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</w:rPr>
      </w:r>
    </w:p>
    <w:p>
      <w:pPr>
        <w:pStyle w:val="Normal"/>
        <w:snapToGrid w:val="false"/>
        <w:spacing w:lineRule="exact" w:line="320"/>
        <w:jc w:val="center"/>
        <w:rPr>
          <w:rFonts w:ascii="黑体;方正黑体_GBK" w:hAnsi="黑体;方正黑体_GBK" w:eastAsia="黑体;方正黑体_GBK" w:cs="黑体;方正黑体_GBK"/>
          <w:b/>
          <w:color w:val="000000"/>
          <w:spacing w:val="16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b/>
          <w:color w:val="000000"/>
          <w:spacing w:val="16"/>
          <w:sz w:val="30"/>
          <w:szCs w:val="30"/>
        </w:rPr>
        <w:t>京津冀地区家具买卖合同</w:t>
      </w:r>
    </w:p>
    <w:p>
      <w:pPr>
        <w:pStyle w:val="Normal"/>
        <w:spacing w:lineRule="exact" w:line="280"/>
        <w:ind w:firstLine="360" w:end="0"/>
        <w:rPr>
          <w:rFonts w:ascii="黑体;方正黑体_GBK" w:hAnsi="黑体;方正黑体_GBK" w:eastAsia="黑体;方正黑体_GBK" w:cs="宋体;方正书宋_GBK"/>
          <w:b/>
          <w:color w:val="FF0000"/>
          <w:spacing w:val="16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/>
          <w:color w:val="FF0000"/>
          <w:spacing w:val="16"/>
          <w:sz w:val="18"/>
          <w:szCs w:val="18"/>
        </w:rPr>
      </w:r>
    </w:p>
    <w:p>
      <w:pPr>
        <w:pStyle w:val="Normal"/>
        <w:spacing w:lineRule="exact" w:line="28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  <w:lang w:val="en-US" w:eastAsia="zh-CN"/>
        </w:rPr>
        <w:t>为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了维护消费者、经营者合法权益，根据《{法律条款1}》、《{法律条款2}》及有关规定，签定本合同。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240"/>
        <w:ind w:firstLine="360" w:end="0"/>
        <w:textAlignment w:val="auto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sz w:val="18"/>
          <w:szCs w:val="18"/>
          <w:lang w:val="en-US" w:eastAsia="zh-CN"/>
        </w:rPr>
        <w:t>第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 xml:space="preserve">一条 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{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家具基本情况}</w:t>
      </w:r>
    </w:p>
    <w:tbl>
      <w:tblPr>
        <w:tblpPr w:vertAnchor="text" w:horzAnchor="margin" w:tblpXSpec="center" w:leftFromText="180" w:rightFromText="180" w:tblpY="302"/>
        <w:tblOverlap w:val="never"/>
        <w:tblW w:w="1082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988"/>
        <w:gridCol w:w="1310"/>
        <w:gridCol w:w="1690"/>
        <w:gridCol w:w="720"/>
        <w:gridCol w:w="468"/>
        <w:gridCol w:w="972"/>
        <w:gridCol w:w="1531"/>
        <w:gridCol w:w="431"/>
        <w:gridCol w:w="425"/>
        <w:gridCol w:w="572"/>
        <w:gridCol w:w="689"/>
        <w:gridCol w:w="1032"/>
      </w:tblGrid>
      <w:tr>
        <w:trPr>
          <w:trHeight w:val="758" w:hRule="atLeas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商标</w:t>
            </w:r>
            <w:r>
              <w:rPr>
                <w:rFonts w:eastAsia="黑体;方正黑体_GBK" w:cs="黑体;方正黑体_GBK" w:ascii="黑体;方正黑体_GBK" w:hAnsi="黑体;方正黑体_GBK"/>
                <w:sz w:val="16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品牌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家具名称</w:t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规格型号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  <w:shd w:fill="E5E5E5" w:val="clear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产地</w:t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是否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儿童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  <w:shd w:fill="E5E5E5" w:val="clear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家具</w:t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主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要材质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及类别</w:t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辅材</w:t>
            </w:r>
            <w:r>
              <w:rPr>
                <w:rFonts w:eastAsia="黑体;方正黑体_GBK" w:cs="黑体;方正黑体_GBK" w:ascii="黑体;方正黑体_GBK" w:hAnsi="黑体;方正黑体_GBK"/>
                <w:sz w:val="16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边材</w:t>
            </w:r>
            <w:r>
              <w:rPr>
                <w:rFonts w:eastAsia="黑体;方正黑体_GBK" w:cs="黑体;方正黑体_GBK" w:ascii="黑体;方正黑体_GBK" w:hAnsi="黑体;方正黑体_GBK"/>
                <w:sz w:val="16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五金</w:t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颜色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数量</w:t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单价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（元）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合计（元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）</w:t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sz w:val="16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备</w:t>
            </w:r>
            <w:r>
              <w:rPr>
                <w:rFonts w:ascii="黑体;方正黑体_GBK" w:hAnsi="黑体;方正黑体_GBK" w:cs="黑体;方正黑体_GBK" w:eastAsia="黑体;方正黑体_GBK"/>
                <w:sz w:val="16"/>
                <w:szCs w:val="18"/>
              </w:rPr>
              <w:t>注</w:t>
            </w:r>
          </w:p>
        </w:tc>
      </w:tr>
      <w:tr>
        <w:trPr>
          <w:trHeight w:val="308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start="18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  <w:shd w:fill="E5E5E5" w:val="clear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jc w:val="center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kern w:val="2"/>
                <w:sz w:val="18"/>
                <w:szCs w:val="18"/>
              </w:rPr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10828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start="180" w:end="0"/>
              <w:textAlignment w:val="auto"/>
              <w:rPr>
                <w:rFonts w:ascii="黑体;方正黑体_GBK" w:hAnsi="黑体;方正黑体_GBK" w:eastAsia="黑体;方正黑体_GBK" w:cs="黑体;方正黑体_GBK"/>
                <w:b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/>
                <w:sz w:val="18"/>
                <w:szCs w:val="18"/>
              </w:rPr>
              <w:t>总计货款：￥：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黑体;方正黑体_GBK" w:hAnsi="黑体;方正黑体_GBK" w:cs="黑体;方正黑体_GBK" w:eastAsia="黑体;方正黑体_GBK"/>
                <w:b/>
                <w:sz w:val="18"/>
                <w:szCs w:val="18"/>
              </w:rPr>
              <w:t>元</w:t>
            </w:r>
          </w:p>
        </w:tc>
      </w:tr>
      <w:tr>
        <w:trPr>
          <w:trHeight w:val="596" w:hRule="atLeast"/>
        </w:trPr>
        <w:tc>
          <w:tcPr>
            <w:tcW w:w="10828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其他相关费用： □送货费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元  □安装费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元   □其他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费用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        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</w:rPr>
              <w:t>元</w:t>
            </w:r>
          </w:p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240"/>
              <w:ind w:hanging="0" w:end="0"/>
              <w:textAlignment w:val="auto"/>
              <w:rPr>
                <w:rFonts w:ascii="黑体;方正黑体_GBK" w:hAnsi="黑体;方正黑体_GBK" w:eastAsia="黑体;方正黑体_GBK" w:cs="黑体;方正黑体_GBK"/>
                <w:b w:val="false"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总计金额（大写）：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万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仟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元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 xml:space="preserve">角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 xml:space="preserve">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￥：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kern w:val="2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kern w:val="2"/>
                <w:sz w:val="18"/>
                <w:szCs w:val="18"/>
              </w:rPr>
              <w:t>元</w:t>
            </w:r>
          </w:p>
        </w:tc>
      </w:tr>
    </w:tbl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/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第二条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付款方式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 xml:space="preserve">□买方在签约时一次性支付全部价款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/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 xml:space="preserve">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□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买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在签约时支付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{定金金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额}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元定金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（不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得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超过全部价款的20%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），余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款{尾款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金额}元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应在{付款时间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节点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}时付</w:t>
      </w:r>
      <w:r>
        <w:rPr>
          <w:rFonts w:ascii="宋体;方正书宋_GBK" w:hAnsi="宋体;方正书宋_GBK" w:cs="宋体;方正书宋_GBK" w:eastAsia="宋体;方正书宋_GBK"/>
          <w:b w:val="false"/>
          <w:sz w:val="18"/>
          <w:szCs w:val="18"/>
          <w:u w:val="single"/>
        </w:rPr>
        <w:t>清。买方违约退货的，无权要求返还定金；卖方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违约不能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交货的，应双倍返还定金。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37" w:end="0"/>
        <w:rPr>
          <w:rFonts w:ascii="宋体;方正书宋_GBK" w:hAnsi="宋体;方正书宋_GBK" w:eastAsia="宋体;方正书宋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第三条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交货及验收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□卖方送货 □买方自提 交货时间：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  <w:u w:val="single"/>
        </w:rPr>
        <w:t>{年}{月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</w:rPr>
        <w:t>}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  <w:u w:val="single"/>
        </w:rPr>
        <w:t>{日}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</w:rPr>
        <w:t>；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  <w:u w:val="single"/>
        </w:rPr>
        <w:t>交货地</w:t>
      </w:r>
      <w:r>
        <w:rPr>
          <w:rFonts w:ascii="黑体;方正黑体_GBK" w:hAnsi="黑体;方正黑体_GBK" w:cs="宋体;方正书宋_GBK" w:eastAsia="黑体;方正黑体_GBK"/>
          <w:b w:val="false"/>
          <w:bCs/>
          <w:sz w:val="18"/>
          <w:szCs w:val="18"/>
        </w:rPr>
        <w:t>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：{交货地点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}。买方发现问题应当场提出，并在交接单上写明瑕疵或拒收原因，及解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决方案。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37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第四条 安装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 xml:space="preserve">□买方自行安装  □卖方安装：□家具交货当日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/ □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  <w:u w:val="single"/>
        </w:rPr>
        <w:t>{安装时间}时，卖方提供入户安装服务。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第五条 售后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本合同项下家具修理、更换、退货（简称“三包”）期限为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{三包期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限}年（普通家具不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低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于1年，红木家具不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低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于2年）。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eastAsia="黑体;方正黑体_GBK"/>
          <w:sz w:val="18"/>
          <w:szCs w:val="18"/>
        </w:rPr>
        <w:t>第六条</w:t>
      </w:r>
      <w:r>
        <w:rPr>
          <w:rFonts w:ascii="黑体;方正黑体_GBK" w:hAnsi="黑体;方正黑体_GBK" w:eastAsia="黑体;方正黑体_GBK"/>
          <w:b w:val="false"/>
          <w:sz w:val="18"/>
          <w:szCs w:val="18"/>
        </w:rPr>
        <w:t xml:space="preserve"> 违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约责任</w:t>
      </w:r>
    </w:p>
    <w:p>
      <w:pPr>
        <w:pStyle w:val="Normal"/>
        <w:spacing w:lineRule="exact" w:line="340"/>
        <w:ind w:firstLine="360" w:start="2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1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、一方延迟送货或提货的，违约方应每日向对方支付家具货款{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违约金比例}的违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约金。</w:t>
      </w:r>
    </w:p>
    <w:p>
      <w:pPr>
        <w:pStyle w:val="Normal"/>
        <w:spacing w:lineRule="exact" w:line="340"/>
        <w:ind w:firstLine="360" w:start="2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2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、违约超过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{天数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}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    日的,守约方有权解除合同，支付定金的，可选择适用定金罚则。</w:t>
      </w:r>
    </w:p>
    <w:p>
      <w:pPr>
        <w:pStyle w:val="Normal"/>
        <w:spacing w:lineRule="exact" w:line="340"/>
        <w:ind w:firstLine="360" w:start="2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3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、买方违约退货的无权要求返还定金，卖方违约不能交货的，应双倍返还定金。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ind w:firstLine="613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4.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买方自提家具的，迟延提货超过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{迟延天数}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日的，应每日向卖方支付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{保管费用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}元保管费，但因卖方原因导致的迟延除外。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4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</w:t>
      </w:r>
      <w:r>
        <w:rPr>
          <w:rFonts w:ascii="黑体;方正黑体_GBK" w:hAnsi="黑体;方正黑体_GBK" w:cs="黑体;方正黑体_GBK" w:eastAsia="黑体;方正黑体_GBK"/>
          <w:sz w:val="18"/>
          <w:szCs w:val="18"/>
          <w:lang w:eastAsia="zh-CN"/>
        </w:rPr>
        <w:t>七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条 争议解决方式</w:t>
      </w: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本合同项下发生的争议，双方应协商解决，或向市场主办单位、行业协会或消费者协会申请调解。协商或调解不成的，选择以下第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{争议解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决方式编号}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 xml:space="preserve"> 种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方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式解决：1.向 {法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院名称} 人民法院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提起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诉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>讼；2.向 {仲裁委员会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名称} 仲裁委员会提请仲裁。</w:t>
      </w:r>
    </w:p>
    <w:p>
      <w:pPr>
        <w:pStyle w:val="Normal"/>
        <w:spacing w:lineRule="exact" w:line="340"/>
        <w:ind w:firstLine="45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第八条 其他约定：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>{其他约定内容}。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firstLine="437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</w:t>
      </w:r>
      <w:r>
        <w:rPr>
          <w:rFonts w:ascii="黑体;方正黑体_GBK" w:hAnsi="黑体;方正黑体_GBK" w:cs="黑体;方正黑体_GBK" w:eastAsia="黑体;方正黑体_GBK"/>
          <w:sz w:val="18"/>
          <w:szCs w:val="18"/>
          <w:lang w:eastAsia="zh-CN"/>
        </w:rPr>
        <w:t>九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条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本合同自双方当事人签字或盖章之日起生效。合同附件为本合同组成部分。本合同一式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份，买方执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份、卖方执   份。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40"/>
        <w:ind w:hanging="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  <w:u w:val="single"/>
        </w:rPr>
        <w:t>{份数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}、主办方执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{份数}，具同等法律效力。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280"/>
        <w:ind w:hanging="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280"/>
        <w:ind w:hanging="0" w:end="0"/>
        <w:jc w:val="center"/>
        <w:rPr>
          <w:rFonts w:ascii="黑体;方正黑体_GBK" w:hAnsi="黑体;方正黑体_GBK" w:eastAsia="黑体;方正黑体_GBK" w:cs="黑体;方正黑体_GBK"/>
          <w:kern w:val="2"/>
          <w:sz w:val="18"/>
          <w:szCs w:val="18"/>
          <w:u w:val="dottedHeavy"/>
        </w:rPr>
      </w:pP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请认真阅读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背面通用条款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、风险提示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以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及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卖</w:t>
      </w:r>
      <w:r>
        <w:rPr>
          <w:rFonts w:ascii="黑体;方正黑体_GBK" w:hAnsi="黑体;方正黑体_GBK" w:cs="黑体;方正黑体_GBK" w:eastAsia="黑体;方正黑体_GBK"/>
          <w:kern w:val="2"/>
          <w:sz w:val="18"/>
          <w:szCs w:val="18"/>
          <w:u w:val="dottedHeavy"/>
        </w:rPr>
        <w:t>方提供的其他书面材料，确认无误后再签订本合同。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280"/>
        <w:ind w:hanging="0" w:end="0"/>
        <w:jc w:val="center"/>
        <w:rPr>
          <w:rFonts w:ascii="黑体;方正黑体_GBK" w:hAnsi="黑体;方正黑体_GBK" w:eastAsia="黑体;方正黑体_GBK" w:cs="黑体;方正黑体_GBK"/>
          <w:kern w:val="2"/>
          <w:sz w:val="18"/>
          <w:szCs w:val="18"/>
          <w:u w:val="dottedHeavy"/>
        </w:rPr>
      </w:pPr>
      <w:r>
        <w:rPr>
          <w:rFonts w:eastAsia="黑体;方正黑体_GBK" w:cs="黑体;方正黑体_GBK" w:ascii="黑体;方正黑体_GBK" w:hAnsi="黑体;方正黑体_GBK"/>
          <w:kern w:val="2"/>
          <w:sz w:val="18"/>
          <w:szCs w:val="18"/>
          <w:u w:val="dottedHeavy"/>
        </w:rPr>
      </w:r>
    </w:p>
    <w:tbl>
      <w:tblPr>
        <w:tblW w:w="1026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50"/>
        <w:gridCol w:w="5122"/>
        <w:gridCol w:w="2788"/>
      </w:tblGrid>
      <w:tr>
        <w:trPr>
          <w:trHeight w:val="323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买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方（签章）：</w:t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卖方（盖章）：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主办单位（盖章）：</w:t>
            </w:r>
          </w:p>
        </w:tc>
      </w:tr>
      <w:tr>
        <w:trPr>
          <w:trHeight w:val="331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系电话：</w:t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统一社会信用代码（营业执照号）</w:t>
            </w: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  <w:t>: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293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经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办人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（签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字）：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166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系地址：</w:t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住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所：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</w:tr>
      <w:tr>
        <w:trPr>
          <w:trHeight w:val="209" w:hRule="atLeast"/>
        </w:trPr>
        <w:tc>
          <w:tcPr>
            <w:tcW w:w="235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  <w:tc>
          <w:tcPr>
            <w:tcW w:w="2788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exact" w:line="280"/>
        <w:ind w:hanging="5940" w:start="6060" w:end="0"/>
        <w:jc w:val="end"/>
        <w:rPr>
          <w:rFonts w:ascii="黑体;方正黑体_GBK" w:hAnsi="黑体;方正黑体_GBK" w:eastAsia="黑体;方正黑体_GBK" w:cs="黑体;方正黑体_GBK"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签订时间：{年}{月}{日}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</w:r>
      <w:r/>
    </w:p>
    <w:p>
      <w:pPr>
        <w:pStyle w:val="BodyTextIndent"/>
        <w:tabs>
          <w:tab w:val="clear" w:pos="420"/>
          <w:tab w:val="left" w:pos="910" w:leader="none"/>
        </w:tabs>
        <w:spacing w:lineRule="auto" w:line="480"/>
        <w:ind w:firstLine="4500" w:end="0"/>
        <w:rPr>
          <w:rFonts w:ascii="黑体;方正黑体_GBK" w:hAnsi="黑体;方正黑体_GBK" w:eastAsia="黑体;方正黑体_GBK" w:cs="黑体;方正黑体_GBK"/>
          <w:kern w:val="2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kern w:val="2"/>
          <w:sz w:val="30"/>
          <w:szCs w:val="30"/>
        </w:rPr>
        <w:t>通用条款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方正小标宋简体" w:hAnsi="方正小标宋简体" w:eastAsia="方正小标宋简体" w:cs="黑体;方正黑体_GBK"/>
          <w:sz w:val="30"/>
          <w:szCs w:val="30"/>
        </w:rPr>
      </w:pPr>
      <w:r>
        <w:rPr>
          <w:rFonts w:ascii="方正小标宋简体" w:hAnsi="方正小标宋简体" w:cs="方正小标宋简体" w:eastAsia="方正小标宋简体"/>
          <w:sz w:val="30"/>
          <w:szCs w:val="30"/>
        </w:rPr>
        <w:t>一、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{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质量标准}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的家具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应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质量、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安全、健康、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环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保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方面法律、法规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和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标准的规定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的家具应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法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律、法规及相应产品标准规定的标识标注。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识标注内容应包含执行标准、规格或批号、生产（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销售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企业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名称、生产企业地址及生产（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销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售）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企业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联系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方式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等信息。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方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交付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的家具应随附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《产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品合格证》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和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国家标准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要求的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使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用说明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（标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签、标牌、使用说明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书等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。使用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说明应对国家有关要求和指标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（特别是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对家具所用材料、涂料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实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际含有的有毒物质或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放射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性等控制指标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给予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说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明。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4.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卖方交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付的红木家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应具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有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符</w:t>
      </w:r>
      <w:r>
        <w:rPr>
          <w:rFonts w:ascii="宋体;方正书宋_GBK" w:hAnsi="宋体;方正书宋_GBK" w:cs="宋体;方正书宋_GBK" w:eastAsia="宋体;方正书宋_GBK"/>
          <w:color w:val="000000"/>
          <w:sz w:val="18"/>
          <w:szCs w:val="18"/>
        </w:rPr>
        <w:t>合《{</w:t>
      </w:r>
      <w:r>
        <w:rPr>
          <w:rFonts w:ascii="宋体;方正书宋_GBK" w:hAnsi="宋体;方正书宋_GBK" w:cs="宋体;方正书宋_GBK" w:eastAsia="宋体;方正书宋_GBK"/>
          <w:color w:val="000000"/>
          <w:sz w:val="18"/>
          <w:szCs w:val="18"/>
        </w:rPr>
        <w:t>标准名称}》({</w:t>
      </w:r>
      <w:r>
        <w:rPr>
          <w:rFonts w:ascii="宋体;方正书宋_GBK" w:hAnsi="宋体;方正书宋_GBK" w:cs="宋体;方正书宋_GBK" w:eastAsia="宋体;方正书宋_GBK"/>
          <w:color w:val="000000"/>
          <w:sz w:val="18"/>
          <w:szCs w:val="18"/>
        </w:rPr>
        <w:t>标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准编号}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)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要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求</w:t>
      </w:r>
      <w:r>
        <w:rPr>
          <w:rFonts w:eastAsia="宋体;方正书宋_GBK" w:cs="宋体;方正书宋_GBK" w:ascii="宋体;方正书宋_GBK" w:hAnsi="宋体;方正书宋_GBK"/>
          <w:color w:val="000000"/>
          <w:sz w:val="18"/>
          <w:szCs w:val="18"/>
        </w:rPr>
        <w:t>的产品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保证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件。产品保证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文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件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应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包括产品使用说明书、红木家具质量明示卡、产品合格证。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b/>
          <w:sz w:val="18"/>
          <w:szCs w:val="18"/>
          <w:u w:val="dottedHeavy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5</w:t>
      </w:r>
      <w:r>
        <w:rPr>
          <w:rFonts w:eastAsia="宋体;方正书宋_GBK" w:cs="宋体;方正书宋_GBK" w:ascii="宋体;方正书宋_GBK" w:hAnsi="宋体;方正书宋_GBK"/>
          <w:sz w:val="18"/>
          <w:szCs w:val="18"/>
        </w:rPr>
        <w:t>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卖方交付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的儿童家具应符合《儿童家具通用技术条件》</w:t>
      </w:r>
      <w:r>
        <w:rPr>
          <w:rFonts w:eastAsia="宋体;方正书宋_GBK" w:cs="宋体;方正书宋_GBK" w:ascii="宋体;方正书宋_GBK" w:hAnsi="宋体;方正书宋_GBK"/>
          <w:b/>
          <w:sz w:val="18"/>
          <w:szCs w:val="18"/>
          <w:u w:val="dottedHeavy"/>
        </w:rPr>
        <w:t>（GB 2800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7）及相关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产品</w:t>
      </w:r>
      <w:r>
        <w:rPr>
          <w:rFonts w:ascii="宋体;方正书宋_GBK" w:hAnsi="宋体;方正书宋_GBK" w:cs="宋体;方正书宋_GBK" w:eastAsia="宋体;方正书宋_GBK"/>
          <w:b/>
          <w:sz w:val="18"/>
          <w:szCs w:val="18"/>
          <w:u w:val="dottedHeavy"/>
        </w:rPr>
        <w:t>的国家、行业等标准的要求。</w:t>
      </w:r>
    </w:p>
    <w:p>
      <w:pPr>
        <w:pStyle w:val="Normal"/>
        <w:spacing w:lineRule="exact" w:line="360"/>
        <w:ind w:firstLine="356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6.</w:t>
      </w:r>
      <w:r>
        <w:rPr>
          <w:rFonts w:ascii="黑体;方正黑体_GBK" w:hAnsi="黑体;方正黑体_GBK" w:eastAsia="黑体;方正黑体_GBK"/>
          <w:sz w:val="18"/>
          <w:szCs w:val="18"/>
        </w:rPr>
        <w:t>质量标准：每件家具应附符合</w:t>
      </w:r>
      <w:r>
        <w:rPr>
          <w:rFonts w:eastAsia="黑体;方正黑体_GBK" w:ascii="黑体;方正黑体_GBK" w:hAnsi="黑体;方正黑体_GBK"/>
          <w:sz w:val="18"/>
          <w:szCs w:val="18"/>
        </w:rPr>
        <w:t>GB5296.6</w:t>
      </w:r>
      <w:r>
        <w:rPr>
          <w:rFonts w:ascii="黑体;方正黑体_GBK" w:hAnsi="黑体;方正黑体_GBK" w:eastAsia="黑体;方正黑体_GBK"/>
          <w:sz w:val="18"/>
          <w:szCs w:val="18"/>
        </w:rPr>
        <w:t>要求的《家具使用说明书》，达到《家具使用说明书》中明示执行的国家标准，且不低于{样品同等质量}。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二、验收</w:t>
      </w:r>
    </w:p>
    <w:p>
      <w:pPr>
        <w:pStyle w:val="Normal"/>
        <w:spacing w:lineRule="exact" w:line="36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卖方交付家具时，应提示买方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  <w:u w:val="dottedHeavy"/>
        </w:rPr>
        <w:t>对家具的商标</w:t>
      </w:r>
      <w:r>
        <w:rPr>
          <w:rFonts w:eastAsia="黑体;方正黑体_GBK" w:cs="宋体;方正书宋_GBK" w:ascii="黑体;方正黑体_GBK" w:hAnsi="黑体;方正黑体_GBK"/>
          <w:b/>
          <w:sz w:val="18"/>
          <w:szCs w:val="18"/>
          <w:u w:val="dottedHeavy"/>
        </w:rPr>
        <w:t>/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  <w:u w:val="dottedHeavy"/>
        </w:rPr>
        <w:t>品牌、颜色、数量、款式、规格型号、包装、有无外观瑕疵等家具基本情况进行验收，并对《家具使用说明书》、《产品合格证》等材料是否齐全进行确认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</w:rPr>
        <w:t>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买方发现问题应当场提出，由双方协商达成解决方案，并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dottedHeavy"/>
        </w:rPr>
        <w:t>以书面方式进行确认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三、售后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b w:val="false"/>
          <w:kern w:val="2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卖方应随附家具产品“三包”凭证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（如《产品合格证》或《家具使用说明书》中的售后凭证）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，按照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各地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家具“三包”责任规定履行义务并承担相应责任。卖方做出对买方更有利的责任承诺的，按照该承诺执行。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四、违约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责任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宋体;方正书宋_GBK" w:hAnsi="宋体;方正书宋_GBK" w:eastAsia="宋体;方正书宋_GBK" w:cs="宋体;方正书宋_GBK"/>
          <w:b w:val="false"/>
          <w:kern w:val="2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1.经国</w:t>
      </w:r>
      <w:r>
        <w:rPr>
          <w:rFonts w:eastAsia="宋体;方正书宋_GBK" w:cs="宋体;方正书宋_GBK" w:ascii="宋体;方正书宋_GBK" w:hAnsi="宋体;方正书宋_GBK"/>
          <w:b w:val="false"/>
          <w:kern w:val="2"/>
          <w:sz w:val="18"/>
          <w:szCs w:val="18"/>
        </w:rPr>
        <w:t>家认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可的家具检测机构检测，家具产品质量不符合本合同约定和相关标准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的，买方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有权退货，并要求卖方承担赔偿责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任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（包括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但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不限于{相应检测费}、{交通费}、{误工费}等）。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hanging="0" w:end="0"/>
        <w:rPr>
          <w:rFonts w:ascii="宋体;方正书宋_GBK" w:hAnsi="宋体;方正书宋_GBK" w:eastAsia="宋体;方正书宋_GBK" w:cs="宋体;方正书宋_GBK"/>
          <w:b w:val="false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2. 在</w:t>
      </w:r>
      <w:r>
        <w:rPr>
          <w:rFonts w:eastAsia="宋体;方正书宋_GBK" w:cs="宋体;方正书宋_GBK" w:ascii="宋体;方正书宋_GBK" w:hAnsi="宋体;方正书宋_GBK"/>
          <w:b w:val="false"/>
          <w:kern w:val="2"/>
          <w:sz w:val="18"/>
          <w:szCs w:val="18"/>
        </w:rPr>
        <w:t>市场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内或展销会签订的合同，{主办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单位}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应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在合同上盖章并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留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存本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合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同。卖方撤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离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市场或</w:t>
      </w:r>
      <w:r>
        <w:rPr>
          <w:rFonts w:ascii="宋体;方正书宋_GBK" w:hAnsi="宋体;方正书宋_GBK" w:cs="宋体;方正书宋_GBK" w:eastAsia="宋体;方正书宋_GBK"/>
          <w:b w:val="false"/>
          <w:kern w:val="2"/>
          <w:sz w:val="18"/>
          <w:szCs w:val="18"/>
        </w:rPr>
        <w:t>展销会的，买方可要求{主办单位}先行承担赔偿责任；{主办单位}承担责任后，有权向卖方追偿。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360" w:end="0"/>
        <w:rPr>
          <w:rFonts w:ascii="黑体;方正黑体_GBK" w:hAnsi="黑体;方正黑体_GBK" w:eastAsia="黑体;方正黑体_GBK" w:cs="黑体;方正黑体_GBK"/>
          <w:b w:val="false"/>
          <w:sz w:val="18"/>
          <w:szCs w:val="18"/>
          <w:u w:val="single"/>
        </w:rPr>
      </w:pPr>
      <w:r>
        <w:rPr>
          <w:rFonts w:eastAsia="黑体;方正黑体_GBK" w:cs="黑体;方正黑体_GBK" w:ascii="黑体;方正黑体_GBK" w:hAnsi="黑体;方正黑体_GBK"/>
          <w:b w:val="false"/>
          <w:sz w:val="18"/>
          <w:szCs w:val="18"/>
          <w:u w:val="single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60"/>
        <w:ind w:firstLine="420" w:end="0"/>
        <w:jc w:val="center"/>
        <w:rPr>
          <w:rFonts w:ascii="黑体;方正黑体_GBK" w:hAnsi="黑体;方正黑体_GBK" w:eastAsia="黑体;方正黑体_GBK" w:cs="黑体;方正黑体_GBK"/>
          <w:b w:val="false"/>
          <w:sz w:val="18"/>
          <w:szCs w:val="18"/>
        </w:rPr>
      </w:pPr>
      <w:r>
        <w:rPr>
          <w:rFonts w:ascii="黑体;方正黑体_GBK" w:hAnsi="黑体;方正黑体_GBK" w:cs="仿宋_GB2312" w:eastAsia="黑体;方正黑体_GBK"/>
          <w:szCs w:val="21"/>
          <w:u w:val="wave"/>
        </w:rPr>
        <w:t>风险提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示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  <w:r>
        <w:rPr>
          <w:rFonts w:ascii="黑体;方正黑体_GBK" w:hAnsi="黑体;方正黑体_GBK" w:cs="仿宋_GB2312" w:eastAsia="黑体;方正黑体_GBK"/>
          <w:szCs w:val="21"/>
          <w:u w:val="wave"/>
        </w:rPr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红木家具所使用的主材树种对家具的经济价值有重要影响。填写时务必注意树种专用名称、树种分类与宣传名称的对应关系，正确填写树种编号，避免混淆。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定金是保证合同订立或履行的一种担保方式。买卖双方可根据实际情况选择是否使用定金条款。买方在支付定金前，请充分了解“定金”的法律概念，知悉违约的法律后果。如不想接受定金规则约束，建议选择“一次性付款”或“先付预付款”的方式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在签订合同前，买卖双方应仔细阅读“违约责任”有关条款，充分了解构成违约的情形和后果，在平等协商基础上合理确定违约金比率。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4.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请在充分考量费用成本、时间等因素基础上，审慎选择纠纷解决途径。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5.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请买方仔细阅读《家具使用说明书》，防止因使用或维护不当而导致的家具开裂、变形等问题。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6.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请买方注意留存发票、收据、合同、《家具使用说明书》和《产品合格证》等重要交易凭证和资料，作为将来主张权利的证据。</w:t>
      </w:r>
    </w:p>
    <w:p>
      <w:pPr>
        <w:pStyle w:val="Normal"/>
        <w:spacing w:lineRule="exact" w:line="360"/>
        <w:ind w:firstLine="360" w:end="0"/>
        <w:rPr>
          <w:rFonts w:ascii="宋体;方正书宋_GBK" w:hAnsi="宋体;方正书宋_GBK" w:eastAsia="宋体;方正书宋_GBK" w:cs="宋体;方正书宋_GBK"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</w:rPr>
        <w:t>7.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家具市场、展销会主办单位在本合同中签章，目的在于证明本合同项下家具确为从本家具市场、展销会处购买。买方合法权益受到侵害的，可按照通用条款中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“违约责任”</w:t>
      </w:r>
      <w:r>
        <w:rPr>
          <w:rFonts w:ascii="宋体;方正书宋_GBK" w:hAnsi="宋体;方正书宋_GBK" w:cs="宋体;方正书宋_GBK" w:eastAsia="宋体;方正书宋_GBK"/>
          <w:sz w:val="18"/>
          <w:szCs w:val="18"/>
        </w:rPr>
        <w:t>条款第二项请求家具市场、展销会主办单位先行赔偿。但法律另有规定或家具市场、展销会主办单位另外作出有利于买方承诺的，依照法律规定或其承诺执行。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rPr>
          <w:rFonts w:ascii="宋体;方正书宋_GBK" w:hAnsi="宋体;方正书宋_GBK" w:eastAsia="宋体;方正书宋_GBK" w:cs="宋体;方正书宋_GBK"/>
          <w:sz w:val="18"/>
          <w:szCs w:val="18"/>
          <w:lang w:eastAsia="zh-CN"/>
        </w:rPr>
      </w:pPr>
      <w:r>
        <w:rPr>
          <w:rFonts w:eastAsia="宋体;方正书宋_GBK" w:cs="宋体;方正书宋_GBK" w:ascii="宋体;方正书宋_GBK" w:hAnsi="宋体;方正书宋_GBK"/>
          <w:sz w:val="18"/>
          <w:szCs w:val="18"/>
          <w:lang w:eastAsia="zh-CN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jc w:val="center"/>
        <w:rPr>
          <w:lang w:eastAsia="zh-CN"/>
        </w:rPr>
      </w:pPr>
      <w:r>
        <w:rPr>
          <w:lang w:eastAsia="zh-CN"/>
        </w:rPr>
        <w:t>{北京市工商行政管理局} {天津市市场和质量监督管理委员会} {河北省工商行政管理局} 制定</w:t>
      </w:r>
    </w:p>
    <w:sectPr>
      <w:type w:val="nextPage"/>
      <w:pgSz w:w="11906" w:h="16838"/>
      <w:pgMar w:left="510" w:right="510" w:gutter="0" w:header="0" w:top="567" w:footer="0" w:bottom="510"/>
      <w:pgNumType w:fmt="decimal"/>
      <w:formProt w:val="false"/>
      <w:textDirection w:val="lrTb"/>
      <w:docGrid w:type="linesAndChar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等线">
    <w:altName w:val="汉仪中宋简"/>
    <w:charset w:val="86"/>
    <w:family w:val="auto"/>
    <w:pitch w:val="default"/>
  </w:font>
  <w:font w:name="方正宋三简体">
    <w:altName w:val="方正书宋_GBK"/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altName w:val="方正黑体_GBK"/>
    <w:charset w:val="00" w:characterSet="windows-1252"/>
    <w:family w:val="auto"/>
    <w:pitch w:val="default"/>
  </w:font>
  <w:font w:name="宋体">
    <w:altName w:val="方正书宋_GBK"/>
    <w:charset w:val="00" w:characterSet="windows-1252"/>
    <w:family w:val="auto"/>
    <w:pitch w:val="default"/>
  </w:font>
  <w:font w:name="方正小标宋简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汉仪中宋简" w:hAnsi="等线;汉仪中宋简" w:eastAsia="等线;汉仪中宋简" w:cs="Times New Roman;DejaVu Sans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Char1">
    <w:name w:val=" Char Char1"/>
    <w:qFormat/>
    <w:rPr>
      <w:rFonts w:ascii="方正宋三简体;方正书宋_GBK" w:hAnsi="方正宋三简体;方正书宋_GBK" w:eastAsia="方正宋三简体;方正书宋_GBK"/>
      <w:b/>
      <w:sz w:val="21"/>
      <w:lang w:bidi="ar-SA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PageNumber">
    <w:name w:val="page number"/>
    <w:basedOn w:val="Style14"/>
    <w:rPr/>
  </w:style>
  <w:style w:type="character" w:styleId="CharChar5">
    <w:name w:val=" Char Char5"/>
    <w:qFormat/>
    <w:rPr>
      <w:rFonts w:ascii="方正宋三简体;方正书宋_GBK" w:hAnsi="方正宋三简体;方正书宋_GBK" w:eastAsia="方正宋三简体;方正书宋_GBK" w:cs="Times New Roman;DejaVu Sans"/>
      <w:b/>
      <w:sz w:val="21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lineRule="exact" w:line="520"/>
      <w:ind w:firstLine="435" w:start="0" w:end="0"/>
    </w:pPr>
    <w:rPr>
      <w:rFonts w:ascii="方正宋三简体;方正书宋_GBK" w:hAnsi="方正宋三简体;方正书宋_GBK" w:eastAsia="方正宋三简体;方正书宋_GBK" w:cs="Times New Roman;DejaVu Sans"/>
      <w:b/>
      <w:kern w:val="0"/>
      <w:sz w:val="21"/>
      <w:szCs w:val="20"/>
      <w:lang w:val="zh-CN" w:eastAsia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7680</TotalTime>
  <Application>LibreOffice/25.2.2.2$MacOSX_AARCH64 LibreOffice_project/7370d4be9e3cf6031a51beef54ff3bda878e3fac</Application>
  <AppVersion>15.0000</AppVersion>
  <Pages>2</Pages>
  <Words>2264</Words>
  <Characters>2314</Characters>
  <CharactersWithSpaces>2978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2018-06-22T18:36:00Z</dcterms:created>
  <dc:creator> </dc:creator>
  <dc:description/>
  <dc:language>zh-CN</dc:language>
  <cp:lastModifiedBy>scjgj</cp:lastModifiedBy>
  <cp:lastPrinted>2018-07-05T16:07:00Z</cp:lastPrinted>
  <dcterms:modified xsi:type="dcterms:W3CDTF">2023-11-02T01:47:41Z</dcterms:modified>
  <cp:revision>11</cp:revision>
  <dc:subject/>
  <dc:title>《北京市家具买卖合同》修订说明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