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Indent"/>
        <w:tabs>
          <w:tab w:val="clear" w:pos="420"/>
          <w:tab w:val="left" w:pos="910" w:leader="none"/>
        </w:tabs>
        <w:spacing w:lineRule="exact" w:line="300"/>
        <w:ind w:hanging="0" w:end="0"/>
        <w:rPr>
          <w:rFonts w:ascii="黑体;方正黑体_GBK" w:hAnsi="黑体;方正黑体_GBK" w:eastAsia="黑体;方正黑体_GBK" w:cs="黑体;方正黑体_GBK"/>
          <w:sz w:val="18"/>
          <w:szCs w:val="18"/>
        </w:rPr>
      </w:pPr>
      <w:r>
        <w:rPr>
          <w:rFonts w:eastAsia="黑体;方正黑体_GBK" w:cs="黑体;方正黑体_GBK" w:ascii="黑体;方正黑体_GBK" w:hAnsi="黑体;方正黑体_GBK"/>
          <w:sz w:val="18"/>
          <w:szCs w:val="18"/>
        </w:rPr>
        <w:t xml:space="preserve">BTHF—2018—0701                                                                        </w:t>
      </w:r>
      <w:r>
        <w:rPr>
          <w:rFonts w:ascii="黑体;方正黑体_GBK" w:hAnsi="黑体;方正黑体_GBK" w:cs="黑体;方正黑体_GBK" w:eastAsia="黑体;方正黑体_GBK"/>
          <w:sz w:val="18"/>
          <w:szCs w:val="18"/>
        </w:rPr>
        <w:t>合同编号：{合同编号}</w:t>
      </w:r>
    </w:p>
    <w:p>
      <w:pPr>
        <w:pStyle w:val="BodyTextIndent"/>
        <w:tabs>
          <w:tab w:val="clear" w:pos="420"/>
          <w:tab w:val="left" w:pos="910" w:leader="none"/>
        </w:tabs>
        <w:spacing w:lineRule="auto" w:line="240"/>
        <w:ind w:hanging="0" w:end="0"/>
        <w:jc w:val="center"/>
        <w:rPr>
          <w:rFonts w:ascii="黑体;方正黑体_GBK" w:hAnsi="黑体;方正黑体_GBK" w:eastAsia="黑体;方正黑体_GBK" w:cs="黑体;方正黑体_GBK"/>
          <w:sz w:val="30"/>
          <w:szCs w:val="30"/>
        </w:rPr>
      </w:pPr>
      <w:r>
        <w:rPr>
          <w:rFonts w:ascii="黑体;方正黑体_GBK" w:hAnsi="黑体;方正黑体_GBK" w:cs="黑体;方正黑体_GBK" w:eastAsia="黑体;方正黑体_GBK"/>
          <w:sz w:val="30"/>
          <w:szCs w:val="30"/>
        </w:rPr>
        <w:t>京津冀</w:t>
      </w:r>
      <w:r>
        <w:rPr>
          <w:rFonts w:ascii="黑体;方正黑体_GBK" w:hAnsi="黑体;方正黑体_GBK" w:cs="黑体;方正黑体_GBK" w:eastAsia="黑体;方正黑体_GBK"/>
          <w:sz w:val="30"/>
          <w:szCs w:val="30"/>
          <w:lang w:eastAsia="zh-CN"/>
        </w:rPr>
        <w:t>地区</w:t>
      </w:r>
      <w:r>
        <w:rPr>
          <w:rFonts w:ascii="黑体;方正黑体_GBK" w:hAnsi="黑体;方正黑体_GBK" w:cs="黑体;方正黑体_GBK" w:eastAsia="黑体;方正黑体_GBK"/>
          <w:sz w:val="30"/>
          <w:szCs w:val="30"/>
        </w:rPr>
        <w:t>家居</w:t>
      </w:r>
      <w:r>
        <w:rPr>
          <w:rFonts w:ascii="黑体;方正黑体_GBK" w:hAnsi="黑体;方正黑体_GBK" w:cs="黑体;方正黑体_GBK" w:eastAsia="黑体;方正黑体_GBK"/>
          <w:sz w:val="30"/>
          <w:szCs w:val="30"/>
          <w:lang w:eastAsia="zh-CN"/>
        </w:rPr>
        <w:t>定</w:t>
      </w:r>
      <w:r>
        <w:rPr>
          <w:rFonts w:ascii="黑体;方正黑体_GBK" w:hAnsi="黑体;方正黑体_GBK" w:cs="黑体;方正黑体_GBK" w:eastAsia="黑体;方正黑体_GBK"/>
          <w:sz w:val="30"/>
          <w:szCs w:val="30"/>
        </w:rPr>
        <w:t>作合同</w:t>
      </w:r>
    </w:p>
    <w:p>
      <w:pPr>
        <w:pStyle w:val="Normal"/>
        <w:spacing w:lineRule="exact" w:line="280"/>
        <w:ind w:firstLine="360" w:end="0"/>
        <w:rPr>
          <w:rFonts w:ascii="黑体;方正黑体_GBK" w:hAnsi="黑体;方正黑体_GBK" w:eastAsia="黑体;方正黑体_GBK" w:cs="宋体;方正书宋_GBK"/>
          <w:sz w:val="18"/>
          <w:szCs w:val="18"/>
        </w:rPr>
      </w:pPr>
      <w:r>
        <w:rPr>
          <w:rFonts w:ascii="黑体;方正黑体_GBK" w:hAnsi="黑体;方正黑体_GBK" w:cs="宋体;方正书宋_GBK" w:eastAsia="黑体;方正黑体_GBK"/>
          <w:sz w:val="18"/>
          <w:szCs w:val="18"/>
        </w:rPr>
        <w:t>为了维护消费者、经营者合法权益，依据《中华人民共和国合同法》、《中华人民共和国消费者权益保护法》及有关规定，遵循平等、自愿、公平和诚实信用的原则，经双方协商一致，签订本合同。</w:t>
      </w:r>
    </w:p>
    <w:p>
      <w:pPr>
        <w:pStyle w:val="Normal"/>
        <w:spacing w:lineRule="exact" w:line="280"/>
        <w:rPr>
          <w:rFonts w:ascii="黑体;方正黑体_GBK" w:hAnsi="黑体;方正黑体_GBK" w:eastAsia="黑体;方正黑体_GBK" w:cs="黑体;方正黑体_GBK"/>
          <w:b/>
          <w:bCs/>
          <w:sz w:val="18"/>
          <w:szCs w:val="18"/>
        </w:rPr>
      </w:pPr>
      <w:r>
        <w:rPr>
          <w:rFonts w:ascii="黑体;方正黑体_GBK" w:hAnsi="黑体;方正黑体_GBK" w:cs="黑体;方正黑体_GBK" w:eastAsia="黑体;方正黑体_GBK"/>
          <w:b/>
          <w:bCs/>
          <w:sz w:val="18"/>
          <w:szCs w:val="18"/>
          <w:lang w:val="en-US" w:eastAsia="zh-CN"/>
        </w:rPr>
        <w:t xml:space="preserve">第一条 </w:t>
      </w:r>
      <w:r>
        <w:rPr>
          <w:rFonts w:ascii="黑体;方正黑体_GBK" w:hAnsi="黑体;方正黑体_GBK" w:cs="黑体;方正黑体_GBK" w:eastAsia="黑体;方正黑体_GBK"/>
          <w:b/>
          <w:bCs/>
          <w:sz w:val="18"/>
          <w:szCs w:val="18"/>
        </w:rPr>
        <w:t>定作商品基本情况：{商品名称}、{规格型号}、{数量}、{单价}、{总价}</w:t>
      </w:r>
    </w:p>
    <w:tbl>
      <w:tblPr>
        <w:tblW w:w="10870" w:type="dxa"/>
        <w:jc w:val="center"/>
        <w:tblInd w:w="0" w:type="dxa"/>
        <w:tblLayout w:type="fixed"/>
        <w:tblCellMar>
          <w:top w:w="0" w:type="dxa"/>
          <w:start w:w="28" w:type="dxa"/>
          <w:bottom w:w="0" w:type="dxa"/>
          <w:end w:w="28" w:type="dxa"/>
        </w:tblCellMar>
      </w:tblPr>
      <w:tblGrid>
        <w:gridCol w:w="907"/>
        <w:gridCol w:w="1561"/>
        <w:gridCol w:w="1135"/>
        <w:gridCol w:w="2242"/>
        <w:gridCol w:w="1450"/>
        <w:gridCol w:w="710"/>
        <w:gridCol w:w="567"/>
        <w:gridCol w:w="709"/>
        <w:gridCol w:w="852"/>
        <w:gridCol w:w="737"/>
      </w:tblGrid>
      <w:tr>
        <w:trPr>
          <w:trHeight w:val="480" w:hRule="atLeast"/>
        </w:trPr>
        <w:tc>
          <w:tcPr>
            <w:tcW w:w="907" w:type="dxa"/>
            <w:tcBorders>
              <w:top w:val="single" w:sz="12" w:space="0" w:color="000000"/>
              <w:start w:val="single" w:sz="12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BodyTextIndent"/>
              <w:tabs>
                <w:tab w:val="clear" w:pos="420"/>
                <w:tab w:val="left" w:pos="910" w:leader="none"/>
              </w:tabs>
              <w:spacing w:lineRule="exact" w:line="280"/>
              <w:ind w:hanging="0" w:end="0"/>
              <w:jc w:val="center"/>
              <w:rPr>
                <w:rFonts w:ascii="黑体;方正黑体_GBK" w:hAnsi="黑体;方正黑体_GBK" w:eastAsia="黑体;方正黑体_GBK" w:cs="黑体;方正黑体_GBK"/>
                <w:b w:val="false"/>
                <w:color w:val="000000"/>
                <w:sz w:val="18"/>
                <w:szCs w:val="18"/>
              </w:rPr>
            </w:pPr>
            <w:r>
              <w:rPr>
                <w:rFonts w:ascii="黑体;方正黑体_GBK" w:hAnsi="黑体;方正黑体_GBK" w:cs="黑体;方正黑体_GBK" w:eastAsia="黑体;方正黑体_GBK"/>
                <w:b w:val="false"/>
                <w:color w:val="000000"/>
                <w:sz w:val="18"/>
                <w:szCs w:val="18"/>
              </w:rPr>
              <w:t>商标</w:t>
            </w:r>
            <w:r>
              <w:rPr>
                <w:rFonts w:eastAsia="黑体;方正黑体_GBK" w:cs="黑体;方正黑体_GBK" w:ascii="黑体;方正黑体_GBK" w:hAnsi="黑体;方正黑体_GBK"/>
                <w:b w:val="false"/>
                <w:color w:val="000000"/>
                <w:sz w:val="18"/>
                <w:szCs w:val="18"/>
              </w:rPr>
              <w:t>/</w:t>
            </w:r>
            <w:r>
              <w:rPr>
                <w:rFonts w:ascii="黑体;方正黑体_GBK" w:hAnsi="黑体;方正黑体_GBK" w:cs="黑体;方正黑体_GBK" w:eastAsia="黑体;方正黑体_GBK"/>
                <w:b w:val="false"/>
                <w:color w:val="000000"/>
                <w:sz w:val="18"/>
                <w:szCs w:val="18"/>
              </w:rPr>
              <w:t>品牌</w:t>
            </w:r>
          </w:p>
        </w:tc>
        <w:tc>
          <w:tcPr>
            <w:tcW w:w="1561" w:type="dxa"/>
            <w:tcBorders>
              <w:top w:val="single" w:sz="12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BodyTextIndent"/>
              <w:tabs>
                <w:tab w:val="clear" w:pos="420"/>
                <w:tab w:val="left" w:pos="910" w:leader="none"/>
              </w:tabs>
              <w:spacing w:lineRule="exact" w:line="280"/>
              <w:ind w:hanging="0" w:end="0"/>
              <w:jc w:val="center"/>
              <w:rPr>
                <w:rFonts w:ascii="黑体;方正黑体_GBK" w:hAnsi="黑体;方正黑体_GBK" w:eastAsia="黑体;方正黑体_GBK" w:cs="黑体;方正黑体_GBK"/>
                <w:b w:val="false"/>
                <w:color w:val="000000"/>
                <w:sz w:val="18"/>
                <w:szCs w:val="18"/>
              </w:rPr>
            </w:pPr>
            <w:r>
              <w:rPr>
                <w:rFonts w:ascii="黑体;方正黑体_GBK" w:hAnsi="黑体;方正黑体_GBK" w:cs="黑体;方正黑体_GBK" w:eastAsia="黑体;方正黑体_GBK"/>
                <w:b w:val="false"/>
                <w:color w:val="000000"/>
                <w:sz w:val="18"/>
                <w:szCs w:val="18"/>
              </w:rPr>
              <w:t>商品名称</w:t>
            </w:r>
          </w:p>
        </w:tc>
        <w:tc>
          <w:tcPr>
            <w:tcW w:w="1135" w:type="dxa"/>
            <w:tcBorders>
              <w:top w:val="single" w:sz="12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BodyTextIndent"/>
              <w:tabs>
                <w:tab w:val="clear" w:pos="420"/>
                <w:tab w:val="left" w:pos="910" w:leader="none"/>
              </w:tabs>
              <w:spacing w:lineRule="exact" w:line="280"/>
              <w:ind w:hanging="0" w:end="0"/>
              <w:jc w:val="center"/>
              <w:rPr>
                <w:rFonts w:ascii="黑体;方正黑体_GBK" w:hAnsi="黑体;方正黑体_GBK" w:eastAsia="黑体;方正黑体_GBK" w:cs="黑体;方正黑体_GBK"/>
                <w:b w:val="false"/>
                <w:color w:val="000000"/>
                <w:sz w:val="18"/>
                <w:szCs w:val="18"/>
              </w:rPr>
            </w:pPr>
            <w:r>
              <w:rPr>
                <w:rFonts w:ascii="黑体;方正黑体_GBK" w:hAnsi="黑体;方正黑体_GBK" w:cs="黑体;方正黑体_GBK" w:eastAsia="黑体;方正黑体_GBK"/>
                <w:b w:val="false"/>
                <w:color w:val="000000"/>
                <w:sz w:val="18"/>
                <w:szCs w:val="18"/>
              </w:rPr>
              <w:t>规格型号</w:t>
            </w:r>
          </w:p>
        </w:tc>
        <w:tc>
          <w:tcPr>
            <w:tcW w:w="2242" w:type="dxa"/>
            <w:tcBorders>
              <w:top w:val="single" w:sz="12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BodyTextIndent"/>
              <w:tabs>
                <w:tab w:val="clear" w:pos="420"/>
                <w:tab w:val="left" w:pos="910" w:leader="none"/>
              </w:tabs>
              <w:spacing w:lineRule="exact" w:line="280"/>
              <w:ind w:hanging="0" w:end="0"/>
              <w:jc w:val="center"/>
              <w:rPr>
                <w:rFonts w:ascii="黑体;方正黑体_GBK" w:hAnsi="黑体;方正黑体_GBK" w:eastAsia="黑体;方正黑体_GBK" w:cs="黑体;方正黑体_GBK"/>
                <w:b w:val="false"/>
                <w:color w:val="000000"/>
                <w:sz w:val="18"/>
                <w:szCs w:val="18"/>
              </w:rPr>
            </w:pPr>
            <w:r>
              <w:rPr>
                <w:rFonts w:ascii="黑体;方正黑体_GBK" w:hAnsi="黑体;方正黑体_GBK" w:cs="黑体;方正黑体_GBK" w:eastAsia="黑体;方正黑体_GBK"/>
                <w:b w:val="false"/>
                <w:color w:val="000000"/>
                <w:sz w:val="18"/>
                <w:szCs w:val="18"/>
              </w:rPr>
              <w:t>材料</w:t>
            </w:r>
          </w:p>
          <w:p>
            <w:pPr>
              <w:pStyle w:val="BodyTextIndent"/>
              <w:tabs>
                <w:tab w:val="clear" w:pos="420"/>
                <w:tab w:val="left" w:pos="910" w:leader="none"/>
              </w:tabs>
              <w:spacing w:lineRule="exact" w:line="280"/>
              <w:ind w:hanging="0" w:end="0"/>
              <w:jc w:val="center"/>
              <w:rPr>
                <w:rFonts w:ascii="黑体;方正黑体_GBK" w:hAnsi="黑体;方正黑体_GBK" w:eastAsia="黑体;方正黑体_GBK" w:cs="黑体;方正黑体_GBK"/>
                <w:b w:val="false"/>
                <w:color w:val="000000"/>
                <w:sz w:val="18"/>
                <w:szCs w:val="18"/>
              </w:rPr>
            </w:pPr>
            <w:r>
              <w:rPr>
                <w:rFonts w:ascii="黑体;方正黑体_GBK" w:hAnsi="黑体;方正黑体_GBK" w:cs="黑体;方正黑体_GBK" w:eastAsia="黑体;方正黑体_GBK"/>
                <w:b w:val="false"/>
                <w:color w:val="000000"/>
                <w:sz w:val="18"/>
                <w:szCs w:val="18"/>
              </w:rPr>
              <w:t>（主要材料</w:t>
            </w:r>
            <w:r>
              <w:rPr>
                <w:rFonts w:eastAsia="黑体;方正黑体_GBK" w:cs="黑体;方正黑体_GBK" w:ascii="黑体;方正黑体_GBK" w:hAnsi="黑体;方正黑体_GBK"/>
                <w:b w:val="false"/>
                <w:color w:val="000000"/>
                <w:sz w:val="18"/>
                <w:szCs w:val="18"/>
              </w:rPr>
              <w:t>/</w:t>
            </w:r>
            <w:r>
              <w:rPr>
                <w:rFonts w:ascii="黑体;方正黑体_GBK" w:hAnsi="黑体;方正黑体_GBK" w:cs="黑体;方正黑体_GBK" w:eastAsia="黑体;方正黑体_GBK"/>
                <w:b w:val="false"/>
                <w:color w:val="000000"/>
                <w:sz w:val="18"/>
                <w:szCs w:val="18"/>
              </w:rPr>
              <w:t>面料</w:t>
            </w:r>
            <w:r>
              <w:rPr>
                <w:rFonts w:eastAsia="黑体;方正黑体_GBK" w:cs="黑体;方正黑体_GBK" w:ascii="黑体;方正黑体_GBK" w:hAnsi="黑体;方正黑体_GBK"/>
                <w:b w:val="false"/>
                <w:color w:val="000000"/>
                <w:sz w:val="18"/>
                <w:szCs w:val="18"/>
              </w:rPr>
              <w:t>/</w:t>
            </w:r>
            <w:r>
              <w:rPr>
                <w:rFonts w:ascii="黑体;方正黑体_GBK" w:hAnsi="黑体;方正黑体_GBK" w:cs="黑体;方正黑体_GBK" w:eastAsia="黑体;方正黑体_GBK"/>
                <w:b w:val="false"/>
                <w:color w:val="000000"/>
                <w:sz w:val="18"/>
                <w:szCs w:val="18"/>
              </w:rPr>
              <w:t>五金）</w:t>
            </w:r>
          </w:p>
        </w:tc>
        <w:tc>
          <w:tcPr>
            <w:tcW w:w="1450" w:type="dxa"/>
            <w:tcBorders>
              <w:top w:val="single" w:sz="12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BodyTextIndent"/>
              <w:tabs>
                <w:tab w:val="clear" w:pos="420"/>
                <w:tab w:val="left" w:pos="910" w:leader="none"/>
              </w:tabs>
              <w:spacing w:lineRule="exact" w:line="280"/>
              <w:ind w:hanging="0" w:end="0"/>
              <w:jc w:val="center"/>
              <w:rPr>
                <w:rFonts w:ascii="黑体;方正黑体_GBK" w:hAnsi="黑体;方正黑体_GBK" w:eastAsia="黑体;方正黑体_GBK" w:cs="黑体;方正黑体_GBK"/>
                <w:b w:val="false"/>
                <w:color w:val="000000"/>
                <w:sz w:val="18"/>
                <w:szCs w:val="18"/>
              </w:rPr>
            </w:pPr>
            <w:r>
              <w:rPr>
                <w:rFonts w:ascii="黑体;方正黑体_GBK" w:hAnsi="黑体;方正黑体_GBK" w:cs="黑体;方正黑体_GBK" w:eastAsia="黑体;方正黑体_GBK"/>
                <w:b w:val="false"/>
                <w:color w:val="000000"/>
                <w:sz w:val="18"/>
                <w:szCs w:val="18"/>
              </w:rPr>
              <w:t>辅料</w:t>
            </w:r>
          </w:p>
        </w:tc>
        <w:tc>
          <w:tcPr>
            <w:tcW w:w="710" w:type="dxa"/>
            <w:tcBorders>
              <w:top w:val="single" w:sz="12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BodyTextIndent"/>
              <w:tabs>
                <w:tab w:val="clear" w:pos="420"/>
                <w:tab w:val="left" w:pos="910" w:leader="none"/>
              </w:tabs>
              <w:spacing w:lineRule="exact" w:line="280"/>
              <w:ind w:hanging="0" w:end="0"/>
              <w:jc w:val="center"/>
              <w:rPr>
                <w:rFonts w:ascii="黑体;方正黑体_GBK" w:hAnsi="黑体;方正黑体_GBK" w:eastAsia="黑体;方正黑体_GBK" w:cs="黑体;方正黑体_GBK"/>
                <w:b w:val="false"/>
                <w:color w:val="000000"/>
                <w:sz w:val="18"/>
                <w:szCs w:val="18"/>
              </w:rPr>
            </w:pPr>
            <w:r>
              <w:rPr>
                <w:rFonts w:ascii="黑体;方正黑体_GBK" w:hAnsi="黑体;方正黑体_GBK" w:cs="黑体;方正黑体_GBK" w:eastAsia="黑体;方正黑体_GBK"/>
                <w:b w:val="false"/>
                <w:color w:val="000000"/>
                <w:sz w:val="18"/>
                <w:szCs w:val="18"/>
              </w:rPr>
              <w:t>颜色</w:t>
            </w:r>
          </w:p>
        </w:tc>
        <w:tc>
          <w:tcPr>
            <w:tcW w:w="567" w:type="dxa"/>
            <w:tcBorders>
              <w:top w:val="single" w:sz="12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BodyTextIndent"/>
              <w:tabs>
                <w:tab w:val="clear" w:pos="420"/>
                <w:tab w:val="left" w:pos="910" w:leader="none"/>
              </w:tabs>
              <w:spacing w:lineRule="exact" w:line="280"/>
              <w:ind w:hanging="0" w:end="0"/>
              <w:jc w:val="center"/>
              <w:rPr>
                <w:rFonts w:ascii="黑体;方正黑体_GBK" w:hAnsi="黑体;方正黑体_GBK" w:eastAsia="黑体;方正黑体_GBK" w:cs="黑体;方正黑体_GBK"/>
                <w:b w:val="false"/>
                <w:color w:val="000000"/>
                <w:sz w:val="18"/>
                <w:szCs w:val="18"/>
              </w:rPr>
            </w:pPr>
            <w:r>
              <w:rPr>
                <w:rFonts w:ascii="黑体;方正黑体_GBK" w:hAnsi="黑体;方正黑体_GBK" w:cs="黑体;方正黑体_GBK" w:eastAsia="黑体;方正黑体_GBK"/>
                <w:b w:val="false"/>
                <w:color w:val="000000"/>
                <w:sz w:val="18"/>
                <w:szCs w:val="18"/>
              </w:rPr>
              <w:t>数量</w:t>
            </w:r>
          </w:p>
        </w:tc>
        <w:tc>
          <w:tcPr>
            <w:tcW w:w="709" w:type="dxa"/>
            <w:tcBorders>
              <w:top w:val="single" w:sz="12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BodyTextIndent"/>
              <w:tabs>
                <w:tab w:val="clear" w:pos="420"/>
                <w:tab w:val="left" w:pos="910" w:leader="none"/>
              </w:tabs>
              <w:spacing w:lineRule="exact" w:line="280"/>
              <w:ind w:hanging="0" w:end="0"/>
              <w:jc w:val="center"/>
              <w:rPr>
                <w:rFonts w:ascii="黑体;方正黑体_GBK" w:hAnsi="黑体;方正黑体_GBK" w:eastAsia="黑体;方正黑体_GBK" w:cs="黑体;方正黑体_GBK"/>
                <w:b w:val="false"/>
                <w:color w:val="000000"/>
                <w:sz w:val="18"/>
                <w:szCs w:val="18"/>
              </w:rPr>
            </w:pPr>
            <w:r>
              <w:rPr>
                <w:rFonts w:ascii="黑体;方正黑体_GBK" w:hAnsi="黑体;方正黑体_GBK" w:cs="黑体;方正黑体_GBK" w:eastAsia="黑体;方正黑体_GBK"/>
                <w:b w:val="false"/>
                <w:color w:val="000000"/>
                <w:sz w:val="18"/>
                <w:szCs w:val="18"/>
              </w:rPr>
              <w:t>单价</w:t>
            </w:r>
          </w:p>
          <w:p>
            <w:pPr>
              <w:pStyle w:val="BodyTextIndent"/>
              <w:tabs>
                <w:tab w:val="clear" w:pos="420"/>
                <w:tab w:val="left" w:pos="910" w:leader="none"/>
              </w:tabs>
              <w:spacing w:lineRule="exact" w:line="280"/>
              <w:ind w:hanging="0" w:end="0"/>
              <w:jc w:val="center"/>
              <w:rPr>
                <w:rFonts w:ascii="黑体;方正黑体_GBK" w:hAnsi="黑体;方正黑体_GBK" w:eastAsia="黑体;方正黑体_GBK" w:cs="黑体;方正黑体_GBK"/>
                <w:b w:val="false"/>
                <w:color w:val="000000"/>
                <w:sz w:val="18"/>
                <w:szCs w:val="18"/>
              </w:rPr>
            </w:pPr>
            <w:r>
              <w:rPr>
                <w:rFonts w:ascii="黑体;方正黑体_GBK" w:hAnsi="黑体;方正黑体_GBK" w:cs="黑体;方正黑体_GBK" w:eastAsia="黑体;方正黑体_GBK"/>
                <w:b w:val="false"/>
                <w:color w:val="000000"/>
                <w:sz w:val="18"/>
                <w:szCs w:val="18"/>
              </w:rPr>
              <w:t>（元）</w:t>
            </w:r>
          </w:p>
        </w:tc>
        <w:tc>
          <w:tcPr>
            <w:tcW w:w="852" w:type="dxa"/>
            <w:tcBorders>
              <w:top w:val="single" w:sz="12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spacing w:lineRule="exact" w:line="280"/>
              <w:jc w:val="center"/>
              <w:rPr>
                <w:rFonts w:ascii="黑体;方正黑体_GBK" w:hAnsi="黑体;方正黑体_GBK" w:eastAsia="黑体;方正黑体_GBK" w:cs="黑体;方正黑体_GBK"/>
                <w:bCs/>
                <w:color w:val="000000"/>
                <w:sz w:val="18"/>
                <w:szCs w:val="18"/>
              </w:rPr>
            </w:pPr>
            <w:r>
              <w:rPr>
                <w:rFonts w:ascii="黑体;方正黑体_GBK" w:hAnsi="黑体;方正黑体_GBK" w:cs="黑体;方正黑体_GBK" w:eastAsia="黑体;方正黑体_GBK"/>
                <w:bCs/>
                <w:color w:val="000000"/>
                <w:sz w:val="18"/>
                <w:szCs w:val="18"/>
              </w:rPr>
              <w:t>合计</w:t>
            </w:r>
          </w:p>
          <w:p>
            <w:pPr>
              <w:pStyle w:val="Normal"/>
              <w:spacing w:lineRule="exact" w:line="280"/>
              <w:jc w:val="center"/>
              <w:rPr>
                <w:rFonts w:ascii="黑体;方正黑体_GBK" w:hAnsi="黑体;方正黑体_GBK" w:eastAsia="黑体;方正黑体_GBK" w:cs="黑体;方正黑体_GBK"/>
                <w:b/>
                <w:color w:val="000000"/>
                <w:sz w:val="18"/>
                <w:szCs w:val="18"/>
              </w:rPr>
            </w:pPr>
            <w:r>
              <w:rPr>
                <w:rFonts w:ascii="黑体;方正黑体_GBK" w:hAnsi="黑体;方正黑体_GBK" w:cs="黑体;方正黑体_GBK" w:eastAsia="黑体;方正黑体_GBK"/>
                <w:bCs/>
                <w:color w:val="000000"/>
                <w:sz w:val="18"/>
                <w:szCs w:val="18"/>
              </w:rPr>
              <w:t>（元）</w:t>
            </w:r>
          </w:p>
        </w:tc>
        <w:tc>
          <w:tcPr>
            <w:tcW w:w="737" w:type="dxa"/>
            <w:tcBorders>
              <w:top w:val="single" w:sz="12" w:space="0" w:color="000000"/>
              <w:start w:val="single" w:sz="6" w:space="0" w:color="000000"/>
              <w:bottom w:val="single" w:sz="6" w:space="0" w:color="000000"/>
              <w:end w:val="single" w:sz="12" w:space="0" w:color="000000"/>
            </w:tcBorders>
            <w:vAlign w:val="center"/>
          </w:tcPr>
          <w:p>
            <w:pPr>
              <w:pStyle w:val="Normal"/>
              <w:widowControl/>
              <w:spacing w:lineRule="exact" w:line="280"/>
              <w:jc w:val="center"/>
              <w:rPr>
                <w:rFonts w:ascii="黑体;方正黑体_GBK" w:hAnsi="黑体;方正黑体_GBK" w:eastAsia="黑体;方正黑体_GBK" w:cs="黑体;方正黑体_GBK"/>
                <w:color w:val="000000"/>
                <w:sz w:val="18"/>
                <w:szCs w:val="18"/>
              </w:rPr>
            </w:pPr>
            <w:r>
              <w:rPr>
                <w:rFonts w:ascii="黑体;方正黑体_GBK" w:hAnsi="黑体;方正黑体_GBK" w:cs="黑体;方正黑体_GBK" w:eastAsia="黑体;方正黑体_GBK"/>
                <w:color w:val="000000"/>
                <w:sz w:val="18"/>
                <w:szCs w:val="18"/>
              </w:rPr>
              <w:t>备注</w:t>
            </w:r>
          </w:p>
        </w:tc>
      </w:tr>
      <w:tr>
        <w:trPr>
          <w:trHeight w:val="273" w:hRule="atLeast"/>
        </w:trPr>
        <w:tc>
          <w:tcPr>
            <w:tcW w:w="907" w:type="dxa"/>
            <w:tcBorders>
              <w:top w:val="single" w:sz="6" w:space="0" w:color="000000"/>
              <w:start w:val="single" w:sz="12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BodyTextIndent"/>
              <w:tabs>
                <w:tab w:val="clear" w:pos="420"/>
                <w:tab w:val="left" w:pos="910" w:leader="none"/>
              </w:tabs>
              <w:snapToGrid w:val="false"/>
              <w:spacing w:lineRule="exact" w:line="280"/>
              <w:ind w:hanging="0" w:end="0"/>
              <w:jc w:val="center"/>
              <w:rPr>
                <w:rFonts w:ascii="黑体;方正黑体_GBK" w:hAnsi="黑体;方正黑体_GBK" w:eastAsia="黑体;方正黑体_GBK" w:cs="仿宋;方正仿宋_GBK"/>
                <w:color w:val="000000"/>
                <w:sz w:val="18"/>
                <w:szCs w:val="18"/>
              </w:rPr>
            </w:pPr>
            <w:r>
              <w:rPr>
                <w:rFonts w:eastAsia="黑体;方正黑体_GBK" w:cs="仿宋;方正仿宋_GBK" w:ascii="黑体;方正黑体_GBK" w:hAnsi="黑体;方正黑体_GBK"/>
                <w:color w:val="000000"/>
                <w:sz w:val="18"/>
                <w:szCs w:val="18"/>
              </w:rPr>
            </w:r>
          </w:p>
        </w:tc>
        <w:tc>
          <w:tcPr>
            <w:tcW w:w="1561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BodyTextIndent"/>
              <w:tabs>
                <w:tab w:val="clear" w:pos="420"/>
                <w:tab w:val="left" w:pos="910" w:leader="none"/>
              </w:tabs>
              <w:snapToGrid w:val="false"/>
              <w:spacing w:lineRule="exact" w:line="280"/>
              <w:ind w:hanging="0" w:end="0"/>
              <w:jc w:val="center"/>
              <w:rPr>
                <w:rFonts w:ascii="黑体;方正黑体_GBK" w:hAnsi="黑体;方正黑体_GBK" w:eastAsia="黑体;方正黑体_GBK" w:cs="仿宋;方正仿宋_GBK"/>
                <w:color w:val="000000"/>
                <w:sz w:val="18"/>
                <w:szCs w:val="18"/>
              </w:rPr>
            </w:pPr>
            <w:r>
              <w:rPr>
                <w:rFonts w:eastAsia="黑体;方正黑体_GBK" w:cs="仿宋;方正仿宋_GBK" w:ascii="黑体;方正黑体_GBK" w:hAnsi="黑体;方正黑体_GBK"/>
                <w:color w:val="000000"/>
                <w:sz w:val="18"/>
                <w:szCs w:val="18"/>
              </w:rPr>
            </w:r>
          </w:p>
        </w:tc>
        <w:tc>
          <w:tcPr>
            <w:tcW w:w="113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BodyTextIndent"/>
              <w:tabs>
                <w:tab w:val="clear" w:pos="420"/>
                <w:tab w:val="left" w:pos="910" w:leader="none"/>
              </w:tabs>
              <w:snapToGrid w:val="false"/>
              <w:spacing w:lineRule="exact" w:line="280"/>
              <w:ind w:hanging="0" w:end="0"/>
              <w:jc w:val="center"/>
              <w:rPr>
                <w:rFonts w:ascii="黑体;方正黑体_GBK" w:hAnsi="黑体;方正黑体_GBK" w:eastAsia="黑体;方正黑体_GBK" w:cs="仿宋;方正仿宋_GBK"/>
                <w:color w:val="000000"/>
                <w:sz w:val="18"/>
                <w:szCs w:val="18"/>
              </w:rPr>
            </w:pPr>
            <w:r>
              <w:rPr>
                <w:rFonts w:eastAsia="黑体;方正黑体_GBK" w:cs="仿宋;方正仿宋_GBK" w:ascii="黑体;方正黑体_GBK" w:hAnsi="黑体;方正黑体_GBK"/>
                <w:color w:val="000000"/>
                <w:sz w:val="18"/>
                <w:szCs w:val="18"/>
              </w:rPr>
            </w:r>
          </w:p>
        </w:tc>
        <w:tc>
          <w:tcPr>
            <w:tcW w:w="2242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BodyTextIndent"/>
              <w:tabs>
                <w:tab w:val="clear" w:pos="420"/>
                <w:tab w:val="left" w:pos="910" w:leader="none"/>
              </w:tabs>
              <w:snapToGrid w:val="false"/>
              <w:spacing w:lineRule="exact" w:line="280"/>
              <w:ind w:hanging="0" w:end="0"/>
              <w:jc w:val="center"/>
              <w:rPr>
                <w:rFonts w:ascii="黑体;方正黑体_GBK" w:hAnsi="黑体;方正黑体_GBK" w:eastAsia="黑体;方正黑体_GBK" w:cs="仿宋;方正仿宋_GBK"/>
                <w:color w:val="000000"/>
                <w:sz w:val="18"/>
                <w:szCs w:val="18"/>
              </w:rPr>
            </w:pPr>
            <w:r>
              <w:rPr>
                <w:rFonts w:eastAsia="黑体;方正黑体_GBK" w:cs="仿宋;方正仿宋_GBK" w:ascii="黑体;方正黑体_GBK" w:hAnsi="黑体;方正黑体_GBK"/>
                <w:color w:val="000000"/>
                <w:sz w:val="18"/>
                <w:szCs w:val="18"/>
              </w:rPr>
            </w:r>
          </w:p>
        </w:tc>
        <w:tc>
          <w:tcPr>
            <w:tcW w:w="145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BodyTextIndent"/>
              <w:tabs>
                <w:tab w:val="clear" w:pos="420"/>
                <w:tab w:val="left" w:pos="910" w:leader="none"/>
              </w:tabs>
              <w:snapToGrid w:val="false"/>
              <w:spacing w:lineRule="exact" w:line="280"/>
              <w:ind w:hanging="0" w:end="0"/>
              <w:jc w:val="center"/>
              <w:rPr>
                <w:rFonts w:ascii="黑体;方正黑体_GBK" w:hAnsi="黑体;方正黑体_GBK" w:eastAsia="黑体;方正黑体_GBK" w:cs="仿宋;方正仿宋_GBK"/>
                <w:color w:val="000000"/>
                <w:sz w:val="18"/>
                <w:szCs w:val="18"/>
              </w:rPr>
            </w:pPr>
            <w:r>
              <w:rPr>
                <w:rFonts w:eastAsia="黑体;方正黑体_GBK" w:cs="仿宋;方正仿宋_GBK" w:ascii="黑体;方正黑体_GBK" w:hAnsi="黑体;方正黑体_GBK"/>
                <w:color w:val="000000"/>
                <w:sz w:val="18"/>
                <w:szCs w:val="18"/>
              </w:rPr>
            </w:r>
          </w:p>
        </w:tc>
        <w:tc>
          <w:tcPr>
            <w:tcW w:w="71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BodyTextIndent"/>
              <w:tabs>
                <w:tab w:val="clear" w:pos="420"/>
                <w:tab w:val="left" w:pos="910" w:leader="none"/>
              </w:tabs>
              <w:snapToGrid w:val="false"/>
              <w:spacing w:lineRule="exact" w:line="280"/>
              <w:ind w:hanging="0" w:end="0"/>
              <w:jc w:val="center"/>
              <w:rPr>
                <w:rFonts w:ascii="黑体;方正黑体_GBK" w:hAnsi="黑体;方正黑体_GBK" w:eastAsia="黑体;方正黑体_GBK" w:cs="仿宋;方正仿宋_GBK"/>
                <w:color w:val="000000"/>
                <w:sz w:val="18"/>
                <w:szCs w:val="18"/>
              </w:rPr>
            </w:pPr>
            <w:r>
              <w:rPr>
                <w:rFonts w:eastAsia="黑体;方正黑体_GBK" w:cs="仿宋;方正仿宋_GBK" w:ascii="黑体;方正黑体_GBK" w:hAnsi="黑体;方正黑体_GBK"/>
                <w:color w:val="000000"/>
                <w:sz w:val="18"/>
                <w:szCs w:val="18"/>
              </w:rPr>
            </w:r>
          </w:p>
        </w:tc>
        <w:tc>
          <w:tcPr>
            <w:tcW w:w="567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BodyTextIndent"/>
              <w:tabs>
                <w:tab w:val="clear" w:pos="420"/>
                <w:tab w:val="left" w:pos="910" w:leader="none"/>
              </w:tabs>
              <w:snapToGrid w:val="false"/>
              <w:spacing w:lineRule="exact" w:line="280"/>
              <w:ind w:hanging="0" w:end="0"/>
              <w:jc w:val="center"/>
              <w:rPr>
                <w:rFonts w:ascii="黑体;方正黑体_GBK" w:hAnsi="黑体;方正黑体_GBK" w:eastAsia="黑体;方正黑体_GBK" w:cs="仿宋;方正仿宋_GBK"/>
                <w:color w:val="000000"/>
                <w:sz w:val="18"/>
                <w:szCs w:val="18"/>
              </w:rPr>
            </w:pPr>
            <w:r>
              <w:rPr>
                <w:rFonts w:eastAsia="黑体;方正黑体_GBK" w:cs="仿宋;方正仿宋_GBK" w:ascii="黑体;方正黑体_GBK" w:hAnsi="黑体;方正黑体_GBK"/>
                <w:color w:val="000000"/>
                <w:sz w:val="18"/>
                <w:szCs w:val="18"/>
              </w:rPr>
            </w:r>
          </w:p>
        </w:tc>
        <w:tc>
          <w:tcPr>
            <w:tcW w:w="709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BodyTextIndent"/>
              <w:tabs>
                <w:tab w:val="clear" w:pos="420"/>
                <w:tab w:val="left" w:pos="910" w:leader="none"/>
              </w:tabs>
              <w:snapToGrid w:val="false"/>
              <w:spacing w:lineRule="exact" w:line="280"/>
              <w:ind w:hanging="0" w:end="0"/>
              <w:jc w:val="center"/>
              <w:rPr>
                <w:rFonts w:ascii="黑体;方正黑体_GBK" w:hAnsi="黑体;方正黑体_GBK" w:eastAsia="黑体;方正黑体_GBK" w:cs="仿宋;方正仿宋_GBK"/>
                <w:color w:val="000000"/>
                <w:sz w:val="18"/>
                <w:szCs w:val="18"/>
              </w:rPr>
            </w:pPr>
            <w:r>
              <w:rPr>
                <w:rFonts w:eastAsia="黑体;方正黑体_GBK" w:cs="仿宋;方正仿宋_GBK" w:ascii="黑体;方正黑体_GBK" w:hAnsi="黑体;方正黑体_GBK"/>
                <w:color w:val="000000"/>
                <w:sz w:val="18"/>
                <w:szCs w:val="18"/>
              </w:rPr>
            </w:r>
          </w:p>
        </w:tc>
        <w:tc>
          <w:tcPr>
            <w:tcW w:w="852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exact" w:line="280"/>
              <w:rPr>
                <w:rFonts w:ascii="黑体;方正黑体_GBK" w:hAnsi="黑体;方正黑体_GBK" w:eastAsia="黑体;方正黑体_GBK" w:cs="仿宋;方正仿宋_GBK"/>
                <w:color w:val="000000"/>
                <w:sz w:val="18"/>
                <w:szCs w:val="18"/>
              </w:rPr>
            </w:pPr>
            <w:r>
              <w:rPr>
                <w:rFonts w:eastAsia="黑体;方正黑体_GBK" w:cs="仿宋;方正仿宋_GBK" w:ascii="黑体;方正黑体_GBK" w:hAnsi="黑体;方正黑体_GBK"/>
                <w:color w:val="000000"/>
                <w:sz w:val="18"/>
                <w:szCs w:val="18"/>
              </w:rPr>
            </w:r>
          </w:p>
        </w:tc>
        <w:tc>
          <w:tcPr>
            <w:tcW w:w="737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12" w:space="0" w:color="000000"/>
            </w:tcBorders>
            <w:vAlign w:val="center"/>
          </w:tcPr>
          <w:p>
            <w:pPr>
              <w:pStyle w:val="Normal"/>
              <w:snapToGrid w:val="false"/>
              <w:spacing w:lineRule="exact" w:line="280"/>
              <w:rPr>
                <w:rFonts w:ascii="黑体;方正黑体_GBK" w:hAnsi="黑体;方正黑体_GBK" w:eastAsia="黑体;方正黑体_GBK" w:cs="仿宋;方正仿宋_GBK"/>
                <w:color w:val="000000"/>
                <w:sz w:val="18"/>
                <w:szCs w:val="18"/>
              </w:rPr>
            </w:pPr>
            <w:r>
              <w:rPr>
                <w:rFonts w:eastAsia="黑体;方正黑体_GBK" w:cs="仿宋;方正仿宋_GBK" w:ascii="黑体;方正黑体_GBK" w:hAnsi="黑体;方正黑体_GBK"/>
                <w:color w:val="000000"/>
                <w:sz w:val="18"/>
                <w:szCs w:val="18"/>
              </w:rPr>
            </w:r>
          </w:p>
        </w:tc>
      </w:tr>
      <w:tr>
        <w:trPr>
          <w:trHeight w:val="321" w:hRule="atLeast"/>
        </w:trPr>
        <w:tc>
          <w:tcPr>
            <w:tcW w:w="907" w:type="dxa"/>
            <w:tcBorders>
              <w:top w:val="single" w:sz="6" w:space="0" w:color="000000"/>
              <w:start w:val="single" w:sz="12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BodyTextIndent"/>
              <w:tabs>
                <w:tab w:val="clear" w:pos="420"/>
                <w:tab w:val="left" w:pos="910" w:leader="none"/>
              </w:tabs>
              <w:snapToGrid w:val="false"/>
              <w:spacing w:lineRule="exact" w:line="280"/>
              <w:ind w:hanging="0" w:end="0"/>
              <w:jc w:val="center"/>
              <w:rPr>
                <w:rFonts w:ascii="黑体;方正黑体_GBK" w:hAnsi="黑体;方正黑体_GBK" w:eastAsia="黑体;方正黑体_GBK" w:cs="仿宋;方正仿宋_GBK"/>
                <w:color w:val="000000"/>
                <w:sz w:val="18"/>
                <w:szCs w:val="18"/>
              </w:rPr>
            </w:pPr>
            <w:r>
              <w:rPr>
                <w:rFonts w:eastAsia="黑体;方正黑体_GBK" w:cs="仿宋;方正仿宋_GBK" w:ascii="黑体;方正黑体_GBK" w:hAnsi="黑体;方正黑体_GBK"/>
                <w:color w:val="000000"/>
                <w:sz w:val="18"/>
                <w:szCs w:val="18"/>
              </w:rPr>
            </w:r>
          </w:p>
        </w:tc>
        <w:tc>
          <w:tcPr>
            <w:tcW w:w="1561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BodyTextIndent"/>
              <w:tabs>
                <w:tab w:val="clear" w:pos="420"/>
                <w:tab w:val="left" w:pos="910" w:leader="none"/>
              </w:tabs>
              <w:snapToGrid w:val="false"/>
              <w:spacing w:lineRule="exact" w:line="280"/>
              <w:ind w:hanging="0" w:end="0"/>
              <w:jc w:val="center"/>
              <w:rPr>
                <w:rFonts w:ascii="黑体;方正黑体_GBK" w:hAnsi="黑体;方正黑体_GBK" w:eastAsia="黑体;方正黑体_GBK" w:cs="仿宋;方正仿宋_GBK"/>
                <w:color w:val="000000"/>
                <w:sz w:val="18"/>
                <w:szCs w:val="18"/>
              </w:rPr>
            </w:pPr>
            <w:r>
              <w:rPr>
                <w:rFonts w:eastAsia="黑体;方正黑体_GBK" w:cs="仿宋;方正仿宋_GBK" w:ascii="黑体;方正黑体_GBK" w:hAnsi="黑体;方正黑体_GBK"/>
                <w:color w:val="000000"/>
                <w:sz w:val="18"/>
                <w:szCs w:val="18"/>
              </w:rPr>
            </w:r>
          </w:p>
        </w:tc>
        <w:tc>
          <w:tcPr>
            <w:tcW w:w="113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BodyTextIndent"/>
              <w:tabs>
                <w:tab w:val="clear" w:pos="420"/>
                <w:tab w:val="left" w:pos="910" w:leader="none"/>
              </w:tabs>
              <w:snapToGrid w:val="false"/>
              <w:spacing w:lineRule="exact" w:line="280"/>
              <w:ind w:hanging="0" w:end="0"/>
              <w:jc w:val="center"/>
              <w:rPr>
                <w:rFonts w:ascii="黑体;方正黑体_GBK" w:hAnsi="黑体;方正黑体_GBK" w:eastAsia="黑体;方正黑体_GBK" w:cs="仿宋;方正仿宋_GBK"/>
                <w:color w:val="000000"/>
                <w:sz w:val="18"/>
                <w:szCs w:val="18"/>
              </w:rPr>
            </w:pPr>
            <w:r>
              <w:rPr>
                <w:rFonts w:eastAsia="黑体;方正黑体_GBK" w:cs="仿宋;方正仿宋_GBK" w:ascii="黑体;方正黑体_GBK" w:hAnsi="黑体;方正黑体_GBK"/>
                <w:color w:val="000000"/>
                <w:sz w:val="18"/>
                <w:szCs w:val="18"/>
              </w:rPr>
            </w:r>
          </w:p>
        </w:tc>
        <w:tc>
          <w:tcPr>
            <w:tcW w:w="2242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BodyTextIndent"/>
              <w:tabs>
                <w:tab w:val="clear" w:pos="420"/>
                <w:tab w:val="left" w:pos="910" w:leader="none"/>
              </w:tabs>
              <w:snapToGrid w:val="false"/>
              <w:spacing w:lineRule="exact" w:line="280"/>
              <w:ind w:hanging="0" w:end="0"/>
              <w:jc w:val="center"/>
              <w:rPr>
                <w:rFonts w:ascii="黑体;方正黑体_GBK" w:hAnsi="黑体;方正黑体_GBK" w:eastAsia="黑体;方正黑体_GBK" w:cs="仿宋;方正仿宋_GBK"/>
                <w:color w:val="000000"/>
                <w:sz w:val="18"/>
                <w:szCs w:val="18"/>
              </w:rPr>
            </w:pPr>
            <w:r>
              <w:rPr>
                <w:rFonts w:eastAsia="黑体;方正黑体_GBK" w:cs="仿宋;方正仿宋_GBK" w:ascii="黑体;方正黑体_GBK" w:hAnsi="黑体;方正黑体_GBK"/>
                <w:color w:val="000000"/>
                <w:sz w:val="18"/>
                <w:szCs w:val="18"/>
              </w:rPr>
            </w:r>
          </w:p>
        </w:tc>
        <w:tc>
          <w:tcPr>
            <w:tcW w:w="145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BodyTextIndent"/>
              <w:tabs>
                <w:tab w:val="clear" w:pos="420"/>
                <w:tab w:val="left" w:pos="910" w:leader="none"/>
              </w:tabs>
              <w:snapToGrid w:val="false"/>
              <w:spacing w:lineRule="exact" w:line="280"/>
              <w:ind w:hanging="0" w:end="0"/>
              <w:jc w:val="center"/>
              <w:rPr>
                <w:rFonts w:ascii="黑体;方正黑体_GBK" w:hAnsi="黑体;方正黑体_GBK" w:eastAsia="黑体;方正黑体_GBK" w:cs="仿宋;方正仿宋_GBK"/>
                <w:color w:val="000000"/>
                <w:sz w:val="18"/>
                <w:szCs w:val="18"/>
              </w:rPr>
            </w:pPr>
            <w:r>
              <w:rPr>
                <w:rFonts w:eastAsia="黑体;方正黑体_GBK" w:cs="仿宋;方正仿宋_GBK" w:ascii="黑体;方正黑体_GBK" w:hAnsi="黑体;方正黑体_GBK"/>
                <w:color w:val="000000"/>
                <w:sz w:val="18"/>
                <w:szCs w:val="18"/>
              </w:rPr>
            </w:r>
          </w:p>
        </w:tc>
        <w:tc>
          <w:tcPr>
            <w:tcW w:w="71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BodyTextIndent"/>
              <w:tabs>
                <w:tab w:val="clear" w:pos="420"/>
                <w:tab w:val="left" w:pos="910" w:leader="none"/>
              </w:tabs>
              <w:snapToGrid w:val="false"/>
              <w:spacing w:lineRule="exact" w:line="280"/>
              <w:ind w:hanging="0" w:end="0"/>
              <w:jc w:val="center"/>
              <w:rPr>
                <w:rFonts w:ascii="黑体;方正黑体_GBK" w:hAnsi="黑体;方正黑体_GBK" w:eastAsia="黑体;方正黑体_GBK" w:cs="仿宋;方正仿宋_GBK"/>
                <w:color w:val="000000"/>
                <w:sz w:val="18"/>
                <w:szCs w:val="18"/>
              </w:rPr>
            </w:pPr>
            <w:r>
              <w:rPr>
                <w:rFonts w:eastAsia="黑体;方正黑体_GBK" w:cs="仿宋;方正仿宋_GBK" w:ascii="黑体;方正黑体_GBK" w:hAnsi="黑体;方正黑体_GBK"/>
                <w:color w:val="000000"/>
                <w:sz w:val="18"/>
                <w:szCs w:val="18"/>
              </w:rPr>
            </w:r>
          </w:p>
        </w:tc>
        <w:tc>
          <w:tcPr>
            <w:tcW w:w="567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BodyTextIndent"/>
              <w:tabs>
                <w:tab w:val="clear" w:pos="420"/>
                <w:tab w:val="left" w:pos="910" w:leader="none"/>
              </w:tabs>
              <w:snapToGrid w:val="false"/>
              <w:spacing w:lineRule="exact" w:line="280"/>
              <w:ind w:hanging="0" w:end="0"/>
              <w:jc w:val="center"/>
              <w:rPr>
                <w:rFonts w:ascii="黑体;方正黑体_GBK" w:hAnsi="黑体;方正黑体_GBK" w:eastAsia="黑体;方正黑体_GBK" w:cs="仿宋;方正仿宋_GBK"/>
                <w:color w:val="000000"/>
                <w:sz w:val="18"/>
                <w:szCs w:val="18"/>
              </w:rPr>
            </w:pPr>
            <w:r>
              <w:rPr>
                <w:rFonts w:eastAsia="黑体;方正黑体_GBK" w:cs="仿宋;方正仿宋_GBK" w:ascii="黑体;方正黑体_GBK" w:hAnsi="黑体;方正黑体_GBK"/>
                <w:color w:val="000000"/>
                <w:sz w:val="18"/>
                <w:szCs w:val="18"/>
              </w:rPr>
            </w:r>
          </w:p>
        </w:tc>
        <w:tc>
          <w:tcPr>
            <w:tcW w:w="709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BodyTextIndent"/>
              <w:tabs>
                <w:tab w:val="clear" w:pos="420"/>
                <w:tab w:val="left" w:pos="910" w:leader="none"/>
              </w:tabs>
              <w:snapToGrid w:val="false"/>
              <w:spacing w:lineRule="exact" w:line="280"/>
              <w:ind w:hanging="0" w:end="0"/>
              <w:jc w:val="center"/>
              <w:rPr>
                <w:rFonts w:ascii="黑体;方正黑体_GBK" w:hAnsi="黑体;方正黑体_GBK" w:eastAsia="黑体;方正黑体_GBK" w:cs="仿宋;方正仿宋_GBK"/>
                <w:color w:val="000000"/>
                <w:sz w:val="18"/>
                <w:szCs w:val="18"/>
              </w:rPr>
            </w:pPr>
            <w:r>
              <w:rPr>
                <w:rFonts w:eastAsia="黑体;方正黑体_GBK" w:cs="仿宋;方正仿宋_GBK" w:ascii="黑体;方正黑体_GBK" w:hAnsi="黑体;方正黑体_GBK"/>
                <w:color w:val="000000"/>
                <w:sz w:val="18"/>
                <w:szCs w:val="18"/>
              </w:rPr>
            </w:r>
          </w:p>
        </w:tc>
        <w:tc>
          <w:tcPr>
            <w:tcW w:w="852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exact" w:line="280"/>
              <w:rPr>
                <w:rFonts w:ascii="黑体;方正黑体_GBK" w:hAnsi="黑体;方正黑体_GBK" w:eastAsia="黑体;方正黑体_GBK" w:cs="仿宋;方正仿宋_GBK"/>
                <w:color w:val="000000"/>
                <w:sz w:val="18"/>
                <w:szCs w:val="18"/>
              </w:rPr>
            </w:pPr>
            <w:r>
              <w:rPr>
                <w:rFonts w:eastAsia="黑体;方正黑体_GBK" w:cs="仿宋;方正仿宋_GBK" w:ascii="黑体;方正黑体_GBK" w:hAnsi="黑体;方正黑体_GBK"/>
                <w:color w:val="000000"/>
                <w:sz w:val="18"/>
                <w:szCs w:val="18"/>
              </w:rPr>
            </w:r>
          </w:p>
        </w:tc>
        <w:tc>
          <w:tcPr>
            <w:tcW w:w="737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12" w:space="0" w:color="000000"/>
            </w:tcBorders>
            <w:vAlign w:val="center"/>
          </w:tcPr>
          <w:p>
            <w:pPr>
              <w:pStyle w:val="Normal"/>
              <w:snapToGrid w:val="false"/>
              <w:spacing w:lineRule="exact" w:line="280"/>
              <w:rPr>
                <w:rFonts w:ascii="黑体;方正黑体_GBK" w:hAnsi="黑体;方正黑体_GBK" w:eastAsia="黑体;方正黑体_GBK" w:cs="仿宋;方正仿宋_GBK"/>
                <w:color w:val="000000"/>
                <w:sz w:val="18"/>
                <w:szCs w:val="18"/>
              </w:rPr>
            </w:pPr>
            <w:r>
              <w:rPr>
                <w:rFonts w:eastAsia="黑体;方正黑体_GBK" w:cs="仿宋;方正仿宋_GBK" w:ascii="黑体;方正黑体_GBK" w:hAnsi="黑体;方正黑体_GBK"/>
                <w:color w:val="000000"/>
                <w:sz w:val="18"/>
                <w:szCs w:val="18"/>
              </w:rPr>
            </w:r>
          </w:p>
        </w:tc>
      </w:tr>
      <w:tr>
        <w:trPr>
          <w:trHeight w:val="328" w:hRule="atLeast"/>
        </w:trPr>
        <w:tc>
          <w:tcPr>
            <w:tcW w:w="907" w:type="dxa"/>
            <w:tcBorders>
              <w:top w:val="single" w:sz="6" w:space="0" w:color="000000"/>
              <w:start w:val="single" w:sz="12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BodyTextIndent"/>
              <w:tabs>
                <w:tab w:val="clear" w:pos="420"/>
                <w:tab w:val="left" w:pos="910" w:leader="none"/>
              </w:tabs>
              <w:snapToGrid w:val="false"/>
              <w:spacing w:lineRule="exact" w:line="280"/>
              <w:ind w:hanging="0" w:end="0"/>
              <w:jc w:val="center"/>
              <w:rPr>
                <w:rFonts w:ascii="黑体;方正黑体_GBK" w:hAnsi="黑体;方正黑体_GBK" w:eastAsia="黑体;方正黑体_GBK" w:cs="仿宋;方正仿宋_GBK"/>
                <w:color w:val="000000"/>
                <w:sz w:val="18"/>
                <w:szCs w:val="18"/>
              </w:rPr>
            </w:pPr>
            <w:r>
              <w:rPr>
                <w:rFonts w:eastAsia="黑体;方正黑体_GBK" w:cs="仿宋;方正仿宋_GBK" w:ascii="黑体;方正黑体_GBK" w:hAnsi="黑体;方正黑体_GBK"/>
                <w:color w:val="000000"/>
                <w:sz w:val="18"/>
                <w:szCs w:val="18"/>
              </w:rPr>
            </w:r>
          </w:p>
        </w:tc>
        <w:tc>
          <w:tcPr>
            <w:tcW w:w="1561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BodyTextIndent"/>
              <w:tabs>
                <w:tab w:val="clear" w:pos="420"/>
                <w:tab w:val="left" w:pos="910" w:leader="none"/>
              </w:tabs>
              <w:snapToGrid w:val="false"/>
              <w:spacing w:lineRule="exact" w:line="280"/>
              <w:ind w:hanging="0" w:end="0"/>
              <w:jc w:val="center"/>
              <w:rPr>
                <w:rFonts w:ascii="黑体;方正黑体_GBK" w:hAnsi="黑体;方正黑体_GBK" w:eastAsia="黑体;方正黑体_GBK" w:cs="仿宋;方正仿宋_GBK"/>
                <w:color w:val="000000"/>
                <w:sz w:val="18"/>
                <w:szCs w:val="18"/>
              </w:rPr>
            </w:pPr>
            <w:r>
              <w:rPr>
                <w:rFonts w:eastAsia="黑体;方正黑体_GBK" w:cs="仿宋;方正仿宋_GBK" w:ascii="黑体;方正黑体_GBK" w:hAnsi="黑体;方正黑体_GBK"/>
                <w:color w:val="000000"/>
                <w:sz w:val="18"/>
                <w:szCs w:val="18"/>
              </w:rPr>
            </w:r>
          </w:p>
        </w:tc>
        <w:tc>
          <w:tcPr>
            <w:tcW w:w="113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BodyTextIndent"/>
              <w:tabs>
                <w:tab w:val="clear" w:pos="420"/>
                <w:tab w:val="left" w:pos="910" w:leader="none"/>
              </w:tabs>
              <w:snapToGrid w:val="false"/>
              <w:spacing w:lineRule="exact" w:line="280"/>
              <w:ind w:hanging="0" w:end="0"/>
              <w:jc w:val="center"/>
              <w:rPr>
                <w:rFonts w:ascii="黑体;方正黑体_GBK" w:hAnsi="黑体;方正黑体_GBK" w:eastAsia="黑体;方正黑体_GBK" w:cs="仿宋;方正仿宋_GBK"/>
                <w:color w:val="000000"/>
                <w:sz w:val="18"/>
                <w:szCs w:val="18"/>
              </w:rPr>
            </w:pPr>
            <w:r>
              <w:rPr>
                <w:rFonts w:eastAsia="黑体;方正黑体_GBK" w:cs="仿宋;方正仿宋_GBK" w:ascii="黑体;方正黑体_GBK" w:hAnsi="黑体;方正黑体_GBK"/>
                <w:color w:val="000000"/>
                <w:sz w:val="18"/>
                <w:szCs w:val="18"/>
              </w:rPr>
            </w:r>
          </w:p>
        </w:tc>
        <w:tc>
          <w:tcPr>
            <w:tcW w:w="2242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BodyTextIndent"/>
              <w:tabs>
                <w:tab w:val="clear" w:pos="420"/>
                <w:tab w:val="left" w:pos="910" w:leader="none"/>
              </w:tabs>
              <w:snapToGrid w:val="false"/>
              <w:spacing w:lineRule="exact" w:line="280"/>
              <w:ind w:hanging="0" w:end="0"/>
              <w:jc w:val="center"/>
              <w:rPr>
                <w:rFonts w:ascii="黑体;方正黑体_GBK" w:hAnsi="黑体;方正黑体_GBK" w:eastAsia="黑体;方正黑体_GBK" w:cs="仿宋;方正仿宋_GBK"/>
                <w:color w:val="000000"/>
                <w:sz w:val="18"/>
                <w:szCs w:val="18"/>
              </w:rPr>
            </w:pPr>
            <w:r>
              <w:rPr>
                <w:rFonts w:eastAsia="黑体;方正黑体_GBK" w:cs="仿宋;方正仿宋_GBK" w:ascii="黑体;方正黑体_GBK" w:hAnsi="黑体;方正黑体_GBK"/>
                <w:color w:val="000000"/>
                <w:sz w:val="18"/>
                <w:szCs w:val="18"/>
              </w:rPr>
            </w:r>
          </w:p>
        </w:tc>
        <w:tc>
          <w:tcPr>
            <w:tcW w:w="145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BodyTextIndent"/>
              <w:tabs>
                <w:tab w:val="clear" w:pos="420"/>
                <w:tab w:val="left" w:pos="910" w:leader="none"/>
              </w:tabs>
              <w:snapToGrid w:val="false"/>
              <w:spacing w:lineRule="exact" w:line="280"/>
              <w:ind w:hanging="0" w:end="0"/>
              <w:jc w:val="center"/>
              <w:rPr>
                <w:rFonts w:ascii="黑体;方正黑体_GBK" w:hAnsi="黑体;方正黑体_GBK" w:eastAsia="黑体;方正黑体_GBK" w:cs="仿宋;方正仿宋_GBK"/>
                <w:color w:val="000000"/>
                <w:sz w:val="18"/>
                <w:szCs w:val="18"/>
              </w:rPr>
            </w:pPr>
            <w:r>
              <w:rPr>
                <w:rFonts w:eastAsia="黑体;方正黑体_GBK" w:cs="仿宋;方正仿宋_GBK" w:ascii="黑体;方正黑体_GBK" w:hAnsi="黑体;方正黑体_GBK"/>
                <w:color w:val="000000"/>
                <w:sz w:val="18"/>
                <w:szCs w:val="18"/>
              </w:rPr>
            </w:r>
          </w:p>
        </w:tc>
        <w:tc>
          <w:tcPr>
            <w:tcW w:w="71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BodyTextIndent"/>
              <w:tabs>
                <w:tab w:val="clear" w:pos="420"/>
                <w:tab w:val="left" w:pos="910" w:leader="none"/>
              </w:tabs>
              <w:snapToGrid w:val="false"/>
              <w:spacing w:lineRule="exact" w:line="280"/>
              <w:ind w:hanging="0" w:end="0"/>
              <w:jc w:val="center"/>
              <w:rPr>
                <w:rFonts w:ascii="黑体;方正黑体_GBK" w:hAnsi="黑体;方正黑体_GBK" w:eastAsia="黑体;方正黑体_GBK" w:cs="仿宋;方正仿宋_GBK"/>
                <w:color w:val="000000"/>
                <w:sz w:val="18"/>
                <w:szCs w:val="18"/>
              </w:rPr>
            </w:pPr>
            <w:r>
              <w:rPr>
                <w:rFonts w:eastAsia="黑体;方正黑体_GBK" w:cs="仿宋;方正仿宋_GBK" w:ascii="黑体;方正黑体_GBK" w:hAnsi="黑体;方正黑体_GBK"/>
                <w:color w:val="000000"/>
                <w:sz w:val="18"/>
                <w:szCs w:val="18"/>
              </w:rPr>
            </w:r>
          </w:p>
        </w:tc>
        <w:tc>
          <w:tcPr>
            <w:tcW w:w="567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BodyTextIndent"/>
              <w:tabs>
                <w:tab w:val="clear" w:pos="420"/>
                <w:tab w:val="left" w:pos="910" w:leader="none"/>
              </w:tabs>
              <w:snapToGrid w:val="false"/>
              <w:spacing w:lineRule="exact" w:line="280"/>
              <w:ind w:hanging="0" w:end="0"/>
              <w:jc w:val="center"/>
              <w:rPr>
                <w:rFonts w:ascii="黑体;方正黑体_GBK" w:hAnsi="黑体;方正黑体_GBK" w:eastAsia="黑体;方正黑体_GBK" w:cs="仿宋;方正仿宋_GBK"/>
                <w:color w:val="000000"/>
                <w:sz w:val="18"/>
                <w:szCs w:val="18"/>
              </w:rPr>
            </w:pPr>
            <w:r>
              <w:rPr>
                <w:rFonts w:eastAsia="黑体;方正黑体_GBK" w:cs="仿宋;方正仿宋_GBK" w:ascii="黑体;方正黑体_GBK" w:hAnsi="黑体;方正黑体_GBK"/>
                <w:color w:val="000000"/>
                <w:sz w:val="18"/>
                <w:szCs w:val="18"/>
              </w:rPr>
            </w:r>
          </w:p>
        </w:tc>
        <w:tc>
          <w:tcPr>
            <w:tcW w:w="709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BodyTextIndent"/>
              <w:tabs>
                <w:tab w:val="clear" w:pos="420"/>
                <w:tab w:val="left" w:pos="910" w:leader="none"/>
              </w:tabs>
              <w:snapToGrid w:val="false"/>
              <w:spacing w:lineRule="exact" w:line="280"/>
              <w:ind w:hanging="0" w:end="0"/>
              <w:jc w:val="center"/>
              <w:rPr>
                <w:rFonts w:ascii="黑体;方正黑体_GBK" w:hAnsi="黑体;方正黑体_GBK" w:eastAsia="黑体;方正黑体_GBK" w:cs="仿宋;方正仿宋_GBK"/>
                <w:color w:val="000000"/>
                <w:sz w:val="18"/>
                <w:szCs w:val="18"/>
              </w:rPr>
            </w:pPr>
            <w:r>
              <w:rPr>
                <w:rFonts w:eastAsia="黑体;方正黑体_GBK" w:cs="仿宋;方正仿宋_GBK" w:ascii="黑体;方正黑体_GBK" w:hAnsi="黑体;方正黑体_GBK"/>
                <w:color w:val="000000"/>
                <w:sz w:val="18"/>
                <w:szCs w:val="18"/>
              </w:rPr>
            </w:r>
          </w:p>
        </w:tc>
        <w:tc>
          <w:tcPr>
            <w:tcW w:w="852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exact" w:line="280"/>
              <w:rPr>
                <w:rFonts w:ascii="黑体;方正黑体_GBK" w:hAnsi="黑体;方正黑体_GBK" w:eastAsia="黑体;方正黑体_GBK" w:cs="仿宋;方正仿宋_GBK"/>
                <w:color w:val="000000"/>
                <w:sz w:val="18"/>
                <w:szCs w:val="18"/>
              </w:rPr>
            </w:pPr>
            <w:r>
              <w:rPr>
                <w:rFonts w:eastAsia="黑体;方正黑体_GBK" w:cs="仿宋;方正仿宋_GBK" w:ascii="黑体;方正黑体_GBK" w:hAnsi="黑体;方正黑体_GBK"/>
                <w:color w:val="000000"/>
                <w:sz w:val="18"/>
                <w:szCs w:val="18"/>
              </w:rPr>
            </w:r>
          </w:p>
        </w:tc>
        <w:tc>
          <w:tcPr>
            <w:tcW w:w="737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12" w:space="0" w:color="000000"/>
            </w:tcBorders>
            <w:vAlign w:val="center"/>
          </w:tcPr>
          <w:p>
            <w:pPr>
              <w:pStyle w:val="Normal"/>
              <w:snapToGrid w:val="false"/>
              <w:spacing w:lineRule="exact" w:line="280"/>
              <w:rPr>
                <w:rFonts w:ascii="黑体;方正黑体_GBK" w:hAnsi="黑体;方正黑体_GBK" w:eastAsia="黑体;方正黑体_GBK" w:cs="仿宋;方正仿宋_GBK"/>
                <w:color w:val="000000"/>
                <w:sz w:val="18"/>
                <w:szCs w:val="18"/>
              </w:rPr>
            </w:pPr>
            <w:r>
              <w:rPr>
                <w:rFonts w:eastAsia="黑体;方正黑体_GBK" w:cs="仿宋;方正仿宋_GBK" w:ascii="黑体;方正黑体_GBK" w:hAnsi="黑体;方正黑体_GBK"/>
                <w:color w:val="000000"/>
                <w:sz w:val="18"/>
                <w:szCs w:val="18"/>
              </w:rPr>
            </w:r>
          </w:p>
        </w:tc>
      </w:tr>
      <w:tr>
        <w:trPr>
          <w:trHeight w:val="307" w:hRule="atLeast"/>
        </w:trPr>
        <w:tc>
          <w:tcPr>
            <w:tcW w:w="907" w:type="dxa"/>
            <w:tcBorders>
              <w:top w:val="single" w:sz="6" w:space="0" w:color="000000"/>
              <w:start w:val="single" w:sz="12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BodyTextIndent"/>
              <w:tabs>
                <w:tab w:val="clear" w:pos="420"/>
                <w:tab w:val="left" w:pos="910" w:leader="none"/>
              </w:tabs>
              <w:snapToGrid w:val="false"/>
              <w:spacing w:lineRule="exact" w:line="280"/>
              <w:ind w:hanging="0" w:end="0"/>
              <w:jc w:val="center"/>
              <w:rPr>
                <w:rFonts w:ascii="黑体;方正黑体_GBK" w:hAnsi="黑体;方正黑体_GBK" w:eastAsia="黑体;方正黑体_GBK" w:cs="仿宋;方正仿宋_GBK"/>
                <w:color w:val="000000"/>
                <w:sz w:val="18"/>
                <w:szCs w:val="18"/>
              </w:rPr>
            </w:pPr>
            <w:r>
              <w:rPr>
                <w:rFonts w:eastAsia="黑体;方正黑体_GBK" w:cs="仿宋;方正仿宋_GBK" w:ascii="黑体;方正黑体_GBK" w:hAnsi="黑体;方正黑体_GBK"/>
                <w:color w:val="000000"/>
                <w:sz w:val="18"/>
                <w:szCs w:val="18"/>
              </w:rPr>
            </w:r>
          </w:p>
        </w:tc>
        <w:tc>
          <w:tcPr>
            <w:tcW w:w="1561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BodyTextIndent"/>
              <w:tabs>
                <w:tab w:val="clear" w:pos="420"/>
                <w:tab w:val="left" w:pos="910" w:leader="none"/>
              </w:tabs>
              <w:snapToGrid w:val="false"/>
              <w:spacing w:lineRule="exact" w:line="280"/>
              <w:ind w:hanging="0" w:start="180" w:end="0"/>
              <w:jc w:val="center"/>
              <w:rPr>
                <w:rFonts w:ascii="黑体;方正黑体_GBK" w:hAnsi="黑体;方正黑体_GBK" w:eastAsia="黑体;方正黑体_GBK" w:cs="仿宋;方正仿宋_GBK"/>
                <w:color w:val="000000"/>
                <w:sz w:val="18"/>
                <w:szCs w:val="18"/>
              </w:rPr>
            </w:pPr>
            <w:r>
              <w:rPr>
                <w:rFonts w:eastAsia="黑体;方正黑体_GBK" w:cs="仿宋;方正仿宋_GBK" w:ascii="黑体;方正黑体_GBK" w:hAnsi="黑体;方正黑体_GBK"/>
                <w:color w:val="000000"/>
                <w:sz w:val="18"/>
                <w:szCs w:val="18"/>
              </w:rPr>
            </w:r>
          </w:p>
        </w:tc>
        <w:tc>
          <w:tcPr>
            <w:tcW w:w="113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BodyTextIndent"/>
              <w:tabs>
                <w:tab w:val="clear" w:pos="420"/>
                <w:tab w:val="left" w:pos="910" w:leader="none"/>
              </w:tabs>
              <w:snapToGrid w:val="false"/>
              <w:spacing w:lineRule="exact" w:line="280"/>
              <w:ind w:hanging="0" w:start="180" w:end="0"/>
              <w:jc w:val="center"/>
              <w:rPr>
                <w:rFonts w:ascii="黑体;方正黑体_GBK" w:hAnsi="黑体;方正黑体_GBK" w:eastAsia="黑体;方正黑体_GBK" w:cs="仿宋;方正仿宋_GBK"/>
                <w:color w:val="000000"/>
                <w:sz w:val="18"/>
                <w:szCs w:val="18"/>
              </w:rPr>
            </w:pPr>
            <w:r>
              <w:rPr>
                <w:rFonts w:eastAsia="黑体;方正黑体_GBK" w:cs="仿宋;方正仿宋_GBK" w:ascii="黑体;方正黑体_GBK" w:hAnsi="黑体;方正黑体_GBK"/>
                <w:color w:val="000000"/>
                <w:sz w:val="18"/>
                <w:szCs w:val="18"/>
              </w:rPr>
            </w:r>
          </w:p>
        </w:tc>
        <w:tc>
          <w:tcPr>
            <w:tcW w:w="2242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BodyTextIndent"/>
              <w:tabs>
                <w:tab w:val="clear" w:pos="420"/>
                <w:tab w:val="left" w:pos="910" w:leader="none"/>
              </w:tabs>
              <w:snapToGrid w:val="false"/>
              <w:spacing w:lineRule="exact" w:line="280"/>
              <w:ind w:hanging="0" w:start="180" w:end="0"/>
              <w:jc w:val="center"/>
              <w:rPr>
                <w:rFonts w:ascii="黑体;方正黑体_GBK" w:hAnsi="黑体;方正黑体_GBK" w:eastAsia="黑体;方正黑体_GBK" w:cs="仿宋;方正仿宋_GBK"/>
                <w:color w:val="000000"/>
                <w:sz w:val="18"/>
                <w:szCs w:val="18"/>
              </w:rPr>
            </w:pPr>
            <w:r>
              <w:rPr>
                <w:rFonts w:eastAsia="黑体;方正黑体_GBK" w:cs="仿宋;方正仿宋_GBK" w:ascii="黑体;方正黑体_GBK" w:hAnsi="黑体;方正黑体_GBK"/>
                <w:color w:val="000000"/>
                <w:sz w:val="18"/>
                <w:szCs w:val="18"/>
              </w:rPr>
            </w:r>
          </w:p>
        </w:tc>
        <w:tc>
          <w:tcPr>
            <w:tcW w:w="145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BodyTextIndent"/>
              <w:tabs>
                <w:tab w:val="clear" w:pos="420"/>
                <w:tab w:val="left" w:pos="910" w:leader="none"/>
              </w:tabs>
              <w:snapToGrid w:val="false"/>
              <w:spacing w:lineRule="exact" w:line="280"/>
              <w:ind w:hanging="0" w:start="180" w:end="0"/>
              <w:jc w:val="center"/>
              <w:rPr>
                <w:rFonts w:ascii="黑体;方正黑体_GBK" w:hAnsi="黑体;方正黑体_GBK" w:eastAsia="黑体;方正黑体_GBK" w:cs="仿宋;方正仿宋_GBK"/>
                <w:color w:val="000000"/>
                <w:sz w:val="18"/>
                <w:szCs w:val="18"/>
              </w:rPr>
            </w:pPr>
            <w:r>
              <w:rPr>
                <w:rFonts w:eastAsia="黑体;方正黑体_GBK" w:cs="仿宋;方正仿宋_GBK" w:ascii="黑体;方正黑体_GBK" w:hAnsi="黑体;方正黑体_GBK"/>
                <w:color w:val="000000"/>
                <w:sz w:val="18"/>
                <w:szCs w:val="18"/>
              </w:rPr>
            </w:r>
          </w:p>
        </w:tc>
        <w:tc>
          <w:tcPr>
            <w:tcW w:w="71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BodyTextIndent"/>
              <w:tabs>
                <w:tab w:val="clear" w:pos="420"/>
                <w:tab w:val="left" w:pos="910" w:leader="none"/>
              </w:tabs>
              <w:snapToGrid w:val="false"/>
              <w:spacing w:lineRule="exact" w:line="280"/>
              <w:ind w:hanging="0" w:start="180" w:end="0"/>
              <w:jc w:val="center"/>
              <w:rPr>
                <w:rFonts w:ascii="黑体;方正黑体_GBK" w:hAnsi="黑体;方正黑体_GBK" w:eastAsia="黑体;方正黑体_GBK" w:cs="仿宋;方正仿宋_GBK"/>
                <w:color w:val="000000"/>
                <w:sz w:val="18"/>
                <w:szCs w:val="18"/>
              </w:rPr>
            </w:pPr>
            <w:r>
              <w:rPr>
                <w:rFonts w:eastAsia="黑体;方正黑体_GBK" w:cs="仿宋;方正仿宋_GBK" w:ascii="黑体;方正黑体_GBK" w:hAnsi="黑体;方正黑体_GBK"/>
                <w:color w:val="000000"/>
                <w:sz w:val="18"/>
                <w:szCs w:val="18"/>
              </w:rPr>
            </w:r>
          </w:p>
        </w:tc>
        <w:tc>
          <w:tcPr>
            <w:tcW w:w="567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BodyTextIndent"/>
              <w:tabs>
                <w:tab w:val="clear" w:pos="420"/>
                <w:tab w:val="left" w:pos="910" w:leader="none"/>
              </w:tabs>
              <w:snapToGrid w:val="false"/>
              <w:spacing w:lineRule="exact" w:line="280"/>
              <w:ind w:hanging="0" w:start="180" w:end="0"/>
              <w:jc w:val="center"/>
              <w:rPr>
                <w:rFonts w:ascii="黑体;方正黑体_GBK" w:hAnsi="黑体;方正黑体_GBK" w:eastAsia="黑体;方正黑体_GBK" w:cs="仿宋;方正仿宋_GBK"/>
                <w:color w:val="000000"/>
                <w:sz w:val="18"/>
                <w:szCs w:val="18"/>
              </w:rPr>
            </w:pPr>
            <w:r>
              <w:rPr>
                <w:rFonts w:eastAsia="黑体;方正黑体_GBK" w:cs="仿宋;方正仿宋_GBK" w:ascii="黑体;方正黑体_GBK" w:hAnsi="黑体;方正黑体_GBK"/>
                <w:color w:val="000000"/>
                <w:sz w:val="18"/>
                <w:szCs w:val="18"/>
              </w:rPr>
            </w:r>
          </w:p>
        </w:tc>
        <w:tc>
          <w:tcPr>
            <w:tcW w:w="709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BodyTextIndent"/>
              <w:tabs>
                <w:tab w:val="clear" w:pos="420"/>
                <w:tab w:val="left" w:pos="910" w:leader="none"/>
              </w:tabs>
              <w:snapToGrid w:val="false"/>
              <w:spacing w:lineRule="exact" w:line="280"/>
              <w:ind w:hanging="0" w:start="180" w:end="0"/>
              <w:jc w:val="center"/>
              <w:rPr>
                <w:rFonts w:ascii="黑体;方正黑体_GBK" w:hAnsi="黑体;方正黑体_GBK" w:eastAsia="黑体;方正黑体_GBK" w:cs="仿宋;方正仿宋_GBK"/>
                <w:color w:val="000000"/>
                <w:sz w:val="18"/>
                <w:szCs w:val="18"/>
              </w:rPr>
            </w:pPr>
            <w:r>
              <w:rPr>
                <w:rFonts w:eastAsia="黑体;方正黑体_GBK" w:cs="仿宋;方正仿宋_GBK" w:ascii="黑体;方正黑体_GBK" w:hAnsi="黑体;方正黑体_GBK"/>
                <w:color w:val="000000"/>
                <w:sz w:val="18"/>
                <w:szCs w:val="18"/>
              </w:rPr>
            </w:r>
          </w:p>
        </w:tc>
        <w:tc>
          <w:tcPr>
            <w:tcW w:w="852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exact" w:line="280"/>
              <w:rPr>
                <w:rFonts w:ascii="黑体;方正黑体_GBK" w:hAnsi="黑体;方正黑体_GBK" w:eastAsia="黑体;方正黑体_GBK" w:cs="仿宋;方正仿宋_GBK"/>
                <w:color w:val="000000"/>
                <w:sz w:val="18"/>
                <w:szCs w:val="18"/>
              </w:rPr>
            </w:pPr>
            <w:r>
              <w:rPr>
                <w:rFonts w:eastAsia="黑体;方正黑体_GBK" w:cs="仿宋;方正仿宋_GBK" w:ascii="黑体;方正黑体_GBK" w:hAnsi="黑体;方正黑体_GBK"/>
                <w:color w:val="000000"/>
                <w:sz w:val="18"/>
                <w:szCs w:val="18"/>
              </w:rPr>
            </w:r>
          </w:p>
        </w:tc>
        <w:tc>
          <w:tcPr>
            <w:tcW w:w="737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12" w:space="0" w:color="000000"/>
            </w:tcBorders>
            <w:vAlign w:val="center"/>
          </w:tcPr>
          <w:p>
            <w:pPr>
              <w:pStyle w:val="Normal"/>
              <w:snapToGrid w:val="false"/>
              <w:spacing w:lineRule="exact" w:line="280"/>
              <w:rPr>
                <w:rFonts w:ascii="黑体;方正黑体_GBK" w:hAnsi="黑体;方正黑体_GBK" w:eastAsia="黑体;方正黑体_GBK" w:cs="仿宋;方正仿宋_GBK"/>
                <w:color w:val="000000"/>
                <w:sz w:val="18"/>
                <w:szCs w:val="18"/>
              </w:rPr>
            </w:pPr>
            <w:r>
              <w:rPr>
                <w:rFonts w:eastAsia="黑体;方正黑体_GBK" w:cs="仿宋;方正仿宋_GBK" w:ascii="黑体;方正黑体_GBK" w:hAnsi="黑体;方正黑体_GBK"/>
                <w:color w:val="000000"/>
                <w:sz w:val="18"/>
                <w:szCs w:val="18"/>
              </w:rPr>
            </w:r>
          </w:p>
        </w:tc>
      </w:tr>
      <w:tr>
        <w:trPr>
          <w:trHeight w:val="307" w:hRule="atLeast"/>
        </w:trPr>
        <w:tc>
          <w:tcPr>
            <w:tcW w:w="907" w:type="dxa"/>
            <w:tcBorders>
              <w:top w:val="single" w:sz="6" w:space="0" w:color="000000"/>
              <w:start w:val="single" w:sz="12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BodyTextIndent"/>
              <w:tabs>
                <w:tab w:val="clear" w:pos="420"/>
                <w:tab w:val="left" w:pos="910" w:leader="none"/>
              </w:tabs>
              <w:snapToGrid w:val="false"/>
              <w:spacing w:lineRule="exact" w:line="280"/>
              <w:ind w:hanging="0" w:end="0"/>
              <w:jc w:val="center"/>
              <w:rPr>
                <w:rFonts w:ascii="黑体;方正黑体_GBK" w:hAnsi="黑体;方正黑体_GBK" w:eastAsia="黑体;方正黑体_GBK" w:cs="仿宋;方正仿宋_GBK"/>
                <w:color w:val="000000"/>
                <w:sz w:val="18"/>
                <w:szCs w:val="18"/>
              </w:rPr>
            </w:pPr>
            <w:r>
              <w:rPr>
                <w:rFonts w:eastAsia="黑体;方正黑体_GBK" w:cs="仿宋;方正仿宋_GBK" w:ascii="黑体;方正黑体_GBK" w:hAnsi="黑体;方正黑体_GBK"/>
                <w:color w:val="000000"/>
                <w:sz w:val="18"/>
                <w:szCs w:val="18"/>
              </w:rPr>
            </w:r>
          </w:p>
        </w:tc>
        <w:tc>
          <w:tcPr>
            <w:tcW w:w="1561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BodyTextIndent"/>
              <w:tabs>
                <w:tab w:val="clear" w:pos="420"/>
                <w:tab w:val="left" w:pos="910" w:leader="none"/>
              </w:tabs>
              <w:snapToGrid w:val="false"/>
              <w:spacing w:lineRule="exact" w:line="280"/>
              <w:ind w:hanging="0" w:start="180" w:end="0"/>
              <w:jc w:val="center"/>
              <w:rPr>
                <w:rFonts w:ascii="黑体;方正黑体_GBK" w:hAnsi="黑体;方正黑体_GBK" w:eastAsia="黑体;方正黑体_GBK" w:cs="仿宋;方正仿宋_GBK"/>
                <w:color w:val="000000"/>
                <w:sz w:val="18"/>
                <w:szCs w:val="18"/>
              </w:rPr>
            </w:pPr>
            <w:r>
              <w:rPr>
                <w:rFonts w:eastAsia="黑体;方正黑体_GBK" w:cs="仿宋;方正仿宋_GBK" w:ascii="黑体;方正黑体_GBK" w:hAnsi="黑体;方正黑体_GBK"/>
                <w:color w:val="000000"/>
                <w:sz w:val="18"/>
                <w:szCs w:val="18"/>
              </w:rPr>
            </w:r>
          </w:p>
        </w:tc>
        <w:tc>
          <w:tcPr>
            <w:tcW w:w="113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BodyTextIndent"/>
              <w:tabs>
                <w:tab w:val="clear" w:pos="420"/>
                <w:tab w:val="left" w:pos="910" w:leader="none"/>
              </w:tabs>
              <w:snapToGrid w:val="false"/>
              <w:spacing w:lineRule="exact" w:line="280"/>
              <w:ind w:hanging="0" w:start="180" w:end="0"/>
              <w:jc w:val="center"/>
              <w:rPr>
                <w:rFonts w:ascii="黑体;方正黑体_GBK" w:hAnsi="黑体;方正黑体_GBK" w:eastAsia="黑体;方正黑体_GBK" w:cs="仿宋;方正仿宋_GBK"/>
                <w:color w:val="000000"/>
                <w:sz w:val="18"/>
                <w:szCs w:val="18"/>
              </w:rPr>
            </w:pPr>
            <w:r>
              <w:rPr>
                <w:rFonts w:eastAsia="黑体;方正黑体_GBK" w:cs="仿宋;方正仿宋_GBK" w:ascii="黑体;方正黑体_GBK" w:hAnsi="黑体;方正黑体_GBK"/>
                <w:color w:val="000000"/>
                <w:sz w:val="18"/>
                <w:szCs w:val="18"/>
              </w:rPr>
            </w:r>
          </w:p>
        </w:tc>
        <w:tc>
          <w:tcPr>
            <w:tcW w:w="2242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BodyTextIndent"/>
              <w:tabs>
                <w:tab w:val="clear" w:pos="420"/>
                <w:tab w:val="left" w:pos="910" w:leader="none"/>
              </w:tabs>
              <w:snapToGrid w:val="false"/>
              <w:spacing w:lineRule="exact" w:line="280"/>
              <w:ind w:hanging="0" w:start="180" w:end="0"/>
              <w:jc w:val="center"/>
              <w:rPr>
                <w:rFonts w:ascii="黑体;方正黑体_GBK" w:hAnsi="黑体;方正黑体_GBK" w:eastAsia="黑体;方正黑体_GBK" w:cs="仿宋;方正仿宋_GBK"/>
                <w:color w:val="000000"/>
                <w:sz w:val="18"/>
                <w:szCs w:val="18"/>
              </w:rPr>
            </w:pPr>
            <w:r>
              <w:rPr>
                <w:rFonts w:eastAsia="黑体;方正黑体_GBK" w:cs="仿宋;方正仿宋_GBK" w:ascii="黑体;方正黑体_GBK" w:hAnsi="黑体;方正黑体_GBK"/>
                <w:color w:val="000000"/>
                <w:sz w:val="18"/>
                <w:szCs w:val="18"/>
              </w:rPr>
            </w:r>
          </w:p>
        </w:tc>
        <w:tc>
          <w:tcPr>
            <w:tcW w:w="145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BodyTextIndent"/>
              <w:tabs>
                <w:tab w:val="clear" w:pos="420"/>
                <w:tab w:val="left" w:pos="910" w:leader="none"/>
              </w:tabs>
              <w:snapToGrid w:val="false"/>
              <w:spacing w:lineRule="exact" w:line="280"/>
              <w:ind w:hanging="0" w:start="180" w:end="0"/>
              <w:jc w:val="center"/>
              <w:rPr>
                <w:rFonts w:ascii="黑体;方正黑体_GBK" w:hAnsi="黑体;方正黑体_GBK" w:eastAsia="黑体;方正黑体_GBK" w:cs="仿宋;方正仿宋_GBK"/>
                <w:color w:val="000000"/>
                <w:sz w:val="18"/>
                <w:szCs w:val="18"/>
              </w:rPr>
            </w:pPr>
            <w:r>
              <w:rPr>
                <w:rFonts w:eastAsia="黑体;方正黑体_GBK" w:cs="仿宋;方正仿宋_GBK" w:ascii="黑体;方正黑体_GBK" w:hAnsi="黑体;方正黑体_GBK"/>
                <w:color w:val="000000"/>
                <w:sz w:val="18"/>
                <w:szCs w:val="18"/>
              </w:rPr>
            </w:r>
          </w:p>
        </w:tc>
        <w:tc>
          <w:tcPr>
            <w:tcW w:w="71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BodyTextIndent"/>
              <w:tabs>
                <w:tab w:val="clear" w:pos="420"/>
                <w:tab w:val="left" w:pos="910" w:leader="none"/>
              </w:tabs>
              <w:snapToGrid w:val="false"/>
              <w:spacing w:lineRule="exact" w:line="280"/>
              <w:ind w:hanging="0" w:start="180" w:end="0"/>
              <w:jc w:val="center"/>
              <w:rPr>
                <w:rFonts w:ascii="黑体;方正黑体_GBK" w:hAnsi="黑体;方正黑体_GBK" w:eastAsia="黑体;方正黑体_GBK" w:cs="仿宋;方正仿宋_GBK"/>
                <w:color w:val="000000"/>
                <w:sz w:val="18"/>
                <w:szCs w:val="18"/>
              </w:rPr>
            </w:pPr>
            <w:r>
              <w:rPr>
                <w:rFonts w:eastAsia="黑体;方正黑体_GBK" w:cs="仿宋;方正仿宋_GBK" w:ascii="黑体;方正黑体_GBK" w:hAnsi="黑体;方正黑体_GBK"/>
                <w:color w:val="000000"/>
                <w:sz w:val="18"/>
                <w:szCs w:val="18"/>
              </w:rPr>
            </w:r>
          </w:p>
        </w:tc>
        <w:tc>
          <w:tcPr>
            <w:tcW w:w="567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BodyTextIndent"/>
              <w:tabs>
                <w:tab w:val="clear" w:pos="420"/>
                <w:tab w:val="left" w:pos="910" w:leader="none"/>
              </w:tabs>
              <w:snapToGrid w:val="false"/>
              <w:spacing w:lineRule="exact" w:line="280"/>
              <w:ind w:hanging="0" w:start="180" w:end="0"/>
              <w:jc w:val="center"/>
              <w:rPr>
                <w:rFonts w:ascii="黑体;方正黑体_GBK" w:hAnsi="黑体;方正黑体_GBK" w:eastAsia="黑体;方正黑体_GBK" w:cs="仿宋;方正仿宋_GBK"/>
                <w:color w:val="000000"/>
                <w:sz w:val="18"/>
                <w:szCs w:val="18"/>
              </w:rPr>
            </w:pPr>
            <w:r>
              <w:rPr>
                <w:rFonts w:eastAsia="黑体;方正黑体_GBK" w:cs="仿宋;方正仿宋_GBK" w:ascii="黑体;方正黑体_GBK" w:hAnsi="黑体;方正黑体_GBK"/>
                <w:color w:val="000000"/>
                <w:sz w:val="18"/>
                <w:szCs w:val="18"/>
              </w:rPr>
            </w:r>
          </w:p>
        </w:tc>
        <w:tc>
          <w:tcPr>
            <w:tcW w:w="709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BodyTextIndent"/>
              <w:tabs>
                <w:tab w:val="clear" w:pos="420"/>
                <w:tab w:val="left" w:pos="910" w:leader="none"/>
              </w:tabs>
              <w:snapToGrid w:val="false"/>
              <w:spacing w:lineRule="exact" w:line="280"/>
              <w:ind w:hanging="0" w:start="180" w:end="0"/>
              <w:jc w:val="center"/>
              <w:rPr>
                <w:rFonts w:ascii="黑体;方正黑体_GBK" w:hAnsi="黑体;方正黑体_GBK" w:eastAsia="黑体;方正黑体_GBK" w:cs="仿宋;方正仿宋_GBK"/>
                <w:color w:val="000000"/>
                <w:sz w:val="18"/>
                <w:szCs w:val="18"/>
              </w:rPr>
            </w:pPr>
            <w:r>
              <w:rPr>
                <w:rFonts w:eastAsia="黑体;方正黑体_GBK" w:cs="仿宋;方正仿宋_GBK" w:ascii="黑体;方正黑体_GBK" w:hAnsi="黑体;方正黑体_GBK"/>
                <w:color w:val="000000"/>
                <w:sz w:val="18"/>
                <w:szCs w:val="18"/>
              </w:rPr>
            </w:r>
          </w:p>
        </w:tc>
        <w:tc>
          <w:tcPr>
            <w:tcW w:w="852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exact" w:line="280"/>
              <w:rPr>
                <w:rFonts w:ascii="黑体;方正黑体_GBK" w:hAnsi="黑体;方正黑体_GBK" w:eastAsia="黑体;方正黑体_GBK" w:cs="仿宋;方正仿宋_GBK"/>
                <w:color w:val="000000"/>
                <w:sz w:val="18"/>
                <w:szCs w:val="18"/>
              </w:rPr>
            </w:pPr>
            <w:r>
              <w:rPr>
                <w:rFonts w:eastAsia="黑体;方正黑体_GBK" w:cs="仿宋;方正仿宋_GBK" w:ascii="黑体;方正黑体_GBK" w:hAnsi="黑体;方正黑体_GBK"/>
                <w:color w:val="000000"/>
                <w:sz w:val="18"/>
                <w:szCs w:val="18"/>
              </w:rPr>
            </w:r>
          </w:p>
        </w:tc>
        <w:tc>
          <w:tcPr>
            <w:tcW w:w="737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12" w:space="0" w:color="000000"/>
            </w:tcBorders>
            <w:vAlign w:val="center"/>
          </w:tcPr>
          <w:p>
            <w:pPr>
              <w:pStyle w:val="Normal"/>
              <w:snapToGrid w:val="false"/>
              <w:spacing w:lineRule="exact" w:line="280"/>
              <w:rPr>
                <w:rFonts w:ascii="黑体;方正黑体_GBK" w:hAnsi="黑体;方正黑体_GBK" w:eastAsia="黑体;方正黑体_GBK" w:cs="仿宋;方正仿宋_GBK"/>
                <w:color w:val="000000"/>
                <w:sz w:val="18"/>
                <w:szCs w:val="18"/>
              </w:rPr>
            </w:pPr>
            <w:r>
              <w:rPr>
                <w:rFonts w:eastAsia="黑体;方正黑体_GBK" w:cs="仿宋;方正仿宋_GBK" w:ascii="黑体;方正黑体_GBK" w:hAnsi="黑体;方正黑体_GBK"/>
                <w:color w:val="000000"/>
                <w:sz w:val="18"/>
                <w:szCs w:val="18"/>
              </w:rPr>
            </w:r>
          </w:p>
        </w:tc>
      </w:tr>
      <w:tr>
        <w:trPr>
          <w:trHeight w:val="307" w:hRule="atLeast"/>
        </w:trPr>
        <w:tc>
          <w:tcPr>
            <w:tcW w:w="907" w:type="dxa"/>
            <w:tcBorders>
              <w:top w:val="single" w:sz="6" w:space="0" w:color="000000"/>
              <w:start w:val="single" w:sz="12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BodyTextIndent"/>
              <w:tabs>
                <w:tab w:val="clear" w:pos="420"/>
                <w:tab w:val="left" w:pos="910" w:leader="none"/>
              </w:tabs>
              <w:snapToGrid w:val="false"/>
              <w:spacing w:lineRule="exact" w:line="280"/>
              <w:ind w:hanging="0" w:end="0"/>
              <w:jc w:val="center"/>
              <w:rPr>
                <w:rFonts w:ascii="黑体;方正黑体_GBK" w:hAnsi="黑体;方正黑体_GBK" w:eastAsia="黑体;方正黑体_GBK" w:cs="仿宋;方正仿宋_GBK"/>
                <w:color w:val="000000"/>
                <w:sz w:val="18"/>
                <w:szCs w:val="18"/>
              </w:rPr>
            </w:pPr>
            <w:r>
              <w:rPr>
                <w:rFonts w:eastAsia="黑体;方正黑体_GBK" w:cs="仿宋;方正仿宋_GBK" w:ascii="黑体;方正黑体_GBK" w:hAnsi="黑体;方正黑体_GBK"/>
                <w:color w:val="000000"/>
                <w:sz w:val="18"/>
                <w:szCs w:val="18"/>
              </w:rPr>
            </w:r>
          </w:p>
        </w:tc>
        <w:tc>
          <w:tcPr>
            <w:tcW w:w="1561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BodyTextIndent"/>
              <w:tabs>
                <w:tab w:val="clear" w:pos="420"/>
                <w:tab w:val="left" w:pos="910" w:leader="none"/>
              </w:tabs>
              <w:snapToGrid w:val="false"/>
              <w:spacing w:lineRule="exact" w:line="280"/>
              <w:ind w:hanging="0" w:start="180" w:end="0"/>
              <w:jc w:val="center"/>
              <w:rPr>
                <w:rFonts w:ascii="黑体;方正黑体_GBK" w:hAnsi="黑体;方正黑体_GBK" w:eastAsia="黑体;方正黑体_GBK" w:cs="仿宋;方正仿宋_GBK"/>
                <w:color w:val="000000"/>
                <w:sz w:val="18"/>
                <w:szCs w:val="18"/>
              </w:rPr>
            </w:pPr>
            <w:r>
              <w:rPr>
                <w:rFonts w:eastAsia="黑体;方正黑体_GBK" w:cs="仿宋;方正仿宋_GBK" w:ascii="黑体;方正黑体_GBK" w:hAnsi="黑体;方正黑体_GBK"/>
                <w:color w:val="000000"/>
                <w:sz w:val="18"/>
                <w:szCs w:val="18"/>
              </w:rPr>
            </w:r>
          </w:p>
        </w:tc>
        <w:tc>
          <w:tcPr>
            <w:tcW w:w="113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BodyTextIndent"/>
              <w:tabs>
                <w:tab w:val="clear" w:pos="420"/>
                <w:tab w:val="left" w:pos="910" w:leader="none"/>
              </w:tabs>
              <w:snapToGrid w:val="false"/>
              <w:spacing w:lineRule="exact" w:line="280"/>
              <w:ind w:hanging="0" w:start="180" w:end="0"/>
              <w:jc w:val="center"/>
              <w:rPr>
                <w:rFonts w:ascii="黑体;方正黑体_GBK" w:hAnsi="黑体;方正黑体_GBK" w:eastAsia="黑体;方正黑体_GBK" w:cs="仿宋;方正仿宋_GBK"/>
                <w:color w:val="000000"/>
                <w:sz w:val="18"/>
                <w:szCs w:val="18"/>
              </w:rPr>
            </w:pPr>
            <w:r>
              <w:rPr>
                <w:rFonts w:eastAsia="黑体;方正黑体_GBK" w:cs="仿宋;方正仿宋_GBK" w:ascii="黑体;方正黑体_GBK" w:hAnsi="黑体;方正黑体_GBK"/>
                <w:color w:val="000000"/>
                <w:sz w:val="18"/>
                <w:szCs w:val="18"/>
              </w:rPr>
            </w:r>
          </w:p>
        </w:tc>
        <w:tc>
          <w:tcPr>
            <w:tcW w:w="2242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BodyTextIndent"/>
              <w:tabs>
                <w:tab w:val="clear" w:pos="420"/>
                <w:tab w:val="left" w:pos="910" w:leader="none"/>
              </w:tabs>
              <w:snapToGrid w:val="false"/>
              <w:spacing w:lineRule="exact" w:line="280"/>
              <w:ind w:hanging="0" w:start="180" w:end="0"/>
              <w:jc w:val="center"/>
              <w:rPr>
                <w:rFonts w:ascii="黑体;方正黑体_GBK" w:hAnsi="黑体;方正黑体_GBK" w:eastAsia="黑体;方正黑体_GBK" w:cs="仿宋;方正仿宋_GBK"/>
                <w:color w:val="000000"/>
                <w:sz w:val="18"/>
                <w:szCs w:val="18"/>
              </w:rPr>
            </w:pPr>
            <w:r>
              <w:rPr>
                <w:rFonts w:eastAsia="黑体;方正黑体_GBK" w:cs="仿宋;方正仿宋_GBK" w:ascii="黑体;方正黑体_GBK" w:hAnsi="黑体;方正黑体_GBK"/>
                <w:color w:val="000000"/>
                <w:sz w:val="18"/>
                <w:szCs w:val="18"/>
              </w:rPr>
            </w:r>
          </w:p>
        </w:tc>
        <w:tc>
          <w:tcPr>
            <w:tcW w:w="145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BodyTextIndent"/>
              <w:tabs>
                <w:tab w:val="clear" w:pos="420"/>
                <w:tab w:val="left" w:pos="910" w:leader="none"/>
              </w:tabs>
              <w:snapToGrid w:val="false"/>
              <w:spacing w:lineRule="exact" w:line="280"/>
              <w:ind w:hanging="0" w:start="180" w:end="0"/>
              <w:jc w:val="center"/>
              <w:rPr>
                <w:rFonts w:ascii="黑体;方正黑体_GBK" w:hAnsi="黑体;方正黑体_GBK" w:eastAsia="黑体;方正黑体_GBK" w:cs="仿宋;方正仿宋_GBK"/>
                <w:color w:val="000000"/>
                <w:sz w:val="18"/>
                <w:szCs w:val="18"/>
              </w:rPr>
            </w:pPr>
            <w:r>
              <w:rPr>
                <w:rFonts w:eastAsia="黑体;方正黑体_GBK" w:cs="仿宋;方正仿宋_GBK" w:ascii="黑体;方正黑体_GBK" w:hAnsi="黑体;方正黑体_GBK"/>
                <w:color w:val="000000"/>
                <w:sz w:val="18"/>
                <w:szCs w:val="18"/>
              </w:rPr>
            </w:r>
          </w:p>
        </w:tc>
        <w:tc>
          <w:tcPr>
            <w:tcW w:w="71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BodyTextIndent"/>
              <w:tabs>
                <w:tab w:val="clear" w:pos="420"/>
                <w:tab w:val="left" w:pos="910" w:leader="none"/>
              </w:tabs>
              <w:snapToGrid w:val="false"/>
              <w:spacing w:lineRule="exact" w:line="280"/>
              <w:ind w:hanging="0" w:start="180" w:end="0"/>
              <w:jc w:val="center"/>
              <w:rPr>
                <w:rFonts w:ascii="黑体;方正黑体_GBK" w:hAnsi="黑体;方正黑体_GBK" w:eastAsia="黑体;方正黑体_GBK" w:cs="仿宋;方正仿宋_GBK"/>
                <w:color w:val="000000"/>
                <w:sz w:val="18"/>
                <w:szCs w:val="18"/>
              </w:rPr>
            </w:pPr>
            <w:r>
              <w:rPr>
                <w:rFonts w:eastAsia="黑体;方正黑体_GBK" w:cs="仿宋;方正仿宋_GBK" w:ascii="黑体;方正黑体_GBK" w:hAnsi="黑体;方正黑体_GBK"/>
                <w:color w:val="000000"/>
                <w:sz w:val="18"/>
                <w:szCs w:val="18"/>
              </w:rPr>
            </w:r>
          </w:p>
        </w:tc>
        <w:tc>
          <w:tcPr>
            <w:tcW w:w="567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BodyTextIndent"/>
              <w:tabs>
                <w:tab w:val="clear" w:pos="420"/>
                <w:tab w:val="left" w:pos="910" w:leader="none"/>
              </w:tabs>
              <w:snapToGrid w:val="false"/>
              <w:spacing w:lineRule="exact" w:line="280"/>
              <w:ind w:hanging="0" w:start="180" w:end="0"/>
              <w:jc w:val="center"/>
              <w:rPr>
                <w:rFonts w:ascii="黑体;方正黑体_GBK" w:hAnsi="黑体;方正黑体_GBK" w:eastAsia="黑体;方正黑体_GBK" w:cs="仿宋;方正仿宋_GBK"/>
                <w:color w:val="000000"/>
                <w:sz w:val="18"/>
                <w:szCs w:val="18"/>
              </w:rPr>
            </w:pPr>
            <w:r>
              <w:rPr>
                <w:rFonts w:eastAsia="黑体;方正黑体_GBK" w:cs="仿宋;方正仿宋_GBK" w:ascii="黑体;方正黑体_GBK" w:hAnsi="黑体;方正黑体_GBK"/>
                <w:color w:val="000000"/>
                <w:sz w:val="18"/>
                <w:szCs w:val="18"/>
              </w:rPr>
            </w:r>
          </w:p>
        </w:tc>
        <w:tc>
          <w:tcPr>
            <w:tcW w:w="709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BodyTextIndent"/>
              <w:tabs>
                <w:tab w:val="clear" w:pos="420"/>
                <w:tab w:val="left" w:pos="910" w:leader="none"/>
              </w:tabs>
              <w:snapToGrid w:val="false"/>
              <w:spacing w:lineRule="exact" w:line="280"/>
              <w:ind w:hanging="0" w:start="180" w:end="0"/>
              <w:jc w:val="center"/>
              <w:rPr>
                <w:rFonts w:ascii="黑体;方正黑体_GBK" w:hAnsi="黑体;方正黑体_GBK" w:eastAsia="黑体;方正黑体_GBK" w:cs="仿宋;方正仿宋_GBK"/>
                <w:color w:val="000000"/>
                <w:sz w:val="18"/>
                <w:szCs w:val="18"/>
              </w:rPr>
            </w:pPr>
            <w:r>
              <w:rPr>
                <w:rFonts w:eastAsia="黑体;方正黑体_GBK" w:cs="仿宋;方正仿宋_GBK" w:ascii="黑体;方正黑体_GBK" w:hAnsi="黑体;方正黑体_GBK"/>
                <w:color w:val="000000"/>
                <w:sz w:val="18"/>
                <w:szCs w:val="18"/>
              </w:rPr>
            </w:r>
          </w:p>
        </w:tc>
        <w:tc>
          <w:tcPr>
            <w:tcW w:w="852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exact" w:line="280"/>
              <w:rPr>
                <w:rFonts w:ascii="黑体;方正黑体_GBK" w:hAnsi="黑体;方正黑体_GBK" w:eastAsia="黑体;方正黑体_GBK" w:cs="仿宋;方正仿宋_GBK"/>
                <w:color w:val="000000"/>
                <w:sz w:val="18"/>
                <w:szCs w:val="18"/>
              </w:rPr>
            </w:pPr>
            <w:r>
              <w:rPr>
                <w:rFonts w:eastAsia="黑体;方正黑体_GBK" w:cs="仿宋;方正仿宋_GBK" w:ascii="黑体;方正黑体_GBK" w:hAnsi="黑体;方正黑体_GBK"/>
                <w:color w:val="000000"/>
                <w:sz w:val="18"/>
                <w:szCs w:val="18"/>
              </w:rPr>
            </w:r>
          </w:p>
        </w:tc>
        <w:tc>
          <w:tcPr>
            <w:tcW w:w="737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12" w:space="0" w:color="000000"/>
            </w:tcBorders>
            <w:vAlign w:val="center"/>
          </w:tcPr>
          <w:p>
            <w:pPr>
              <w:pStyle w:val="Normal"/>
              <w:snapToGrid w:val="false"/>
              <w:spacing w:lineRule="exact" w:line="280"/>
              <w:rPr>
                <w:rFonts w:ascii="黑体;方正黑体_GBK" w:hAnsi="黑体;方正黑体_GBK" w:eastAsia="黑体;方正黑体_GBK" w:cs="仿宋;方正仿宋_GBK"/>
                <w:color w:val="000000"/>
                <w:sz w:val="18"/>
                <w:szCs w:val="18"/>
              </w:rPr>
            </w:pPr>
            <w:r>
              <w:rPr>
                <w:rFonts w:eastAsia="黑体;方正黑体_GBK" w:cs="仿宋;方正仿宋_GBK" w:ascii="黑体;方正黑体_GBK" w:hAnsi="黑体;方正黑体_GBK"/>
                <w:color w:val="000000"/>
                <w:sz w:val="18"/>
                <w:szCs w:val="18"/>
              </w:rPr>
            </w:r>
          </w:p>
        </w:tc>
      </w:tr>
      <w:tr>
        <w:trPr>
          <w:trHeight w:val="307" w:hRule="atLeast"/>
        </w:trPr>
        <w:tc>
          <w:tcPr>
            <w:tcW w:w="10870" w:type="dxa"/>
            <w:gridSpan w:val="10"/>
            <w:tcBorders>
              <w:top w:val="single" w:sz="6" w:space="0" w:color="000000"/>
              <w:start w:val="single" w:sz="12" w:space="0" w:color="000000"/>
              <w:bottom w:val="single" w:sz="6" w:space="0" w:color="000000"/>
              <w:end w:val="single" w:sz="12" w:space="0" w:color="000000"/>
            </w:tcBorders>
            <w:vAlign w:val="center"/>
          </w:tcPr>
          <w:p>
            <w:pPr>
              <w:pStyle w:val="Normal"/>
              <w:spacing w:lineRule="exact" w:line="280"/>
              <w:rPr>
                <w:rFonts w:ascii="黑体;方正黑体_GBK" w:hAnsi="黑体;方正黑体_GBK" w:eastAsia="黑体;方正黑体_GBK" w:cs="仿宋;方正仿宋_GBK"/>
                <w:color w:val="000000"/>
                <w:sz w:val="18"/>
                <w:szCs w:val="18"/>
              </w:rPr>
            </w:pPr>
            <w:r>
              <w:rPr>
                <w:rFonts w:ascii="黑体;方正黑体_GBK" w:hAnsi="黑体;方正黑体_GBK" w:cs="仿宋;方正仿宋_GBK" w:eastAsia="黑体;方正黑体_GBK"/>
                <w:color w:val="000000"/>
                <w:sz w:val="18"/>
                <w:szCs w:val="18"/>
              </w:rPr>
              <w:t>总价款：</w:t>
            </w:r>
            <w:r>
              <w:rPr>
                <w:rFonts w:ascii="黑体;方正黑体_GBK" w:hAnsi="黑体;方正黑体_GBK" w:cs="黑体;方正黑体_GBK" w:eastAsia="黑体;方正黑体_GBK"/>
                <w:b/>
                <w:color w:val="000000"/>
                <w:sz w:val="18"/>
                <w:szCs w:val="18"/>
              </w:rPr>
              <w:t>￥：</w:t>
            </w:r>
            <w:r>
              <w:rPr>
                <w:rFonts w:ascii="黑体;方正黑体_GBK" w:hAnsi="黑体;方正黑体_GBK" w:cs="黑体;方正黑体_GBK" w:eastAsia="黑体;方正黑体_GBK"/>
                <w:b/>
                <w:bCs/>
                <w:color w:val="000000"/>
                <w:sz w:val="18"/>
                <w:szCs w:val="18"/>
                <w:u w:val="single"/>
              </w:rPr>
              <w:t xml:space="preserve">                 </w:t>
            </w:r>
            <w:r>
              <w:rPr>
                <w:rFonts w:ascii="黑体;方正黑体_GBK" w:hAnsi="黑体;方正黑体_GBK" w:cs="黑体;方正黑体_GBK" w:eastAsia="黑体;方正黑体_GBK"/>
                <w:b/>
                <w:color w:val="000000"/>
                <w:sz w:val="18"/>
                <w:szCs w:val="18"/>
              </w:rPr>
              <w:t>元</w:t>
            </w:r>
          </w:p>
        </w:tc>
      </w:tr>
      <w:tr>
        <w:trPr>
          <w:trHeight w:val="621" w:hRule="atLeast"/>
        </w:trPr>
        <w:tc>
          <w:tcPr>
            <w:tcW w:w="10870" w:type="dxa"/>
            <w:gridSpan w:val="10"/>
            <w:tcBorders>
              <w:top w:val="single" w:sz="6" w:space="0" w:color="000000"/>
              <w:start w:val="single" w:sz="12" w:space="0" w:color="000000"/>
              <w:bottom w:val="single" w:sz="12" w:space="0" w:color="000000"/>
              <w:end w:val="single" w:sz="12" w:space="0" w:color="000000"/>
            </w:tcBorders>
          </w:tcPr>
          <w:p>
            <w:pPr>
              <w:pStyle w:val="Normal"/>
              <w:spacing w:lineRule="exact" w:line="280"/>
              <w:ind w:start="241" w:end="0"/>
              <w:rPr>
                <w:rFonts w:ascii="黑体;方正黑体_GBK" w:hAnsi="黑体;方正黑体_GBK" w:eastAsia="黑体;方正黑体_GBK" w:cs="宋体;方正书宋_GBK"/>
                <w:sz w:val="18"/>
                <w:szCs w:val="18"/>
                <w:u w:val="single"/>
              </w:rPr>
            </w:pPr>
            <w:r>
              <w:rPr>
                <w:rFonts w:ascii="黑体;方正黑体_GBK" w:hAnsi="黑体;方正黑体_GBK" w:cs="黑体;方正黑体_GBK" w:eastAsia="黑体;方正黑体_GBK"/>
                <w:b/>
                <w:bCs/>
                <w:color w:val="000000"/>
                <w:sz w:val="18"/>
                <w:szCs w:val="18"/>
              </w:rPr>
              <w:t>其他相关费用： □送货费</w:t>
            </w:r>
            <w:r>
              <w:rPr>
                <w:rFonts w:ascii="黑体;方正黑体_GBK" w:hAnsi="黑体;方正黑体_GBK" w:cs="黑体;方正黑体_GBK" w:eastAsia="黑体;方正黑体_GBK"/>
                <w:b/>
                <w:bCs/>
                <w:color w:val="000000"/>
                <w:sz w:val="18"/>
                <w:szCs w:val="18"/>
                <w:u w:val="single"/>
              </w:rPr>
              <w:t xml:space="preserve">       </w:t>
            </w:r>
            <w:r>
              <w:rPr>
                <w:rFonts w:ascii="黑体;方正黑体_GBK" w:hAnsi="黑体;方正黑体_GBK" w:cs="黑体;方正黑体_GBK" w:eastAsia="黑体;方正黑体_GBK"/>
                <w:b/>
                <w:bCs/>
                <w:color w:val="000000"/>
                <w:sz w:val="18"/>
                <w:szCs w:val="18"/>
              </w:rPr>
              <w:t>元  □安装费</w:t>
            </w:r>
            <w:r>
              <w:rPr>
                <w:rFonts w:ascii="黑体;方正黑体_GBK" w:hAnsi="黑体;方正黑体_GBK" w:cs="黑体;方正黑体_GBK" w:eastAsia="黑体;方正黑体_GBK"/>
                <w:b/>
                <w:bCs/>
                <w:color w:val="000000"/>
                <w:sz w:val="18"/>
                <w:szCs w:val="18"/>
                <w:u w:val="single"/>
              </w:rPr>
              <w:t xml:space="preserve">     </w:t>
            </w:r>
            <w:r>
              <w:rPr>
                <w:rFonts w:ascii="黑体;方正黑体_GBK" w:hAnsi="黑体;方正黑体_GBK" w:cs="黑体;方正黑体_GBK" w:eastAsia="黑体;方正黑体_GBK"/>
                <w:b/>
                <w:bCs/>
                <w:color w:val="000000"/>
                <w:sz w:val="18"/>
                <w:szCs w:val="18"/>
              </w:rPr>
              <w:t>元   □</w:t>
            </w:r>
            <w:r>
              <w:rPr>
                <w:rFonts w:ascii="黑体;方正黑体_GBK" w:hAnsi="黑体;方正黑体_GBK" w:cs="宋体;方正书宋_GBK" w:eastAsia="黑体;方正黑体_GBK"/>
                <w:sz w:val="18"/>
                <w:szCs w:val="18"/>
              </w:rPr>
              <w:t>测量、设计费：</w:t>
            </w:r>
            <w:r>
              <w:rPr>
                <w:rFonts w:ascii="黑体;方正黑体_GBK" w:hAnsi="黑体;方正黑体_GBK" w:cs="宋体;方正书宋_GBK" w:eastAsia="黑体;方正黑体_GBK"/>
                <w:sz w:val="18"/>
                <w:szCs w:val="18"/>
                <w:u w:val="single"/>
              </w:rPr>
              <w:t xml:space="preserve">      </w:t>
            </w:r>
            <w:r>
              <w:rPr>
                <w:rFonts w:ascii="黑体;方正黑体_GBK" w:hAnsi="黑体;方正黑体_GBK" w:cs="宋体;方正书宋_GBK" w:eastAsia="黑体;方正黑体_GBK"/>
                <w:sz w:val="18"/>
                <w:szCs w:val="18"/>
              </w:rPr>
              <w:t xml:space="preserve">元      </w:t>
            </w:r>
            <w:r>
              <w:rPr>
                <w:rFonts w:ascii="黑体;方正黑体_GBK" w:hAnsi="黑体;方正黑体_GBK" w:cs="黑体;方正黑体_GBK" w:eastAsia="黑体;方正黑体_GBK"/>
                <w:b/>
                <w:bCs/>
                <w:color w:val="000000"/>
                <w:sz w:val="18"/>
                <w:szCs w:val="18"/>
              </w:rPr>
              <w:t>□</w:t>
            </w:r>
            <w:r>
              <w:rPr>
                <w:rFonts w:ascii="黑体;方正黑体_GBK" w:hAnsi="黑体;方正黑体_GBK" w:cs="宋体;方正书宋_GBK" w:eastAsia="黑体;方正黑体_GBK"/>
                <w:sz w:val="18"/>
                <w:szCs w:val="18"/>
              </w:rPr>
              <w:t>其他费用：</w:t>
            </w:r>
            <w:r>
              <w:rPr>
                <w:rFonts w:ascii="黑体;方正黑体_GBK" w:hAnsi="黑体;方正黑体_GBK" w:cs="宋体;方正书宋_GBK" w:eastAsia="黑体;方正黑体_GBK"/>
                <w:sz w:val="18"/>
                <w:szCs w:val="18"/>
                <w:u w:val="single"/>
              </w:rPr>
              <w:t xml:space="preserve">                 </w:t>
            </w:r>
            <w:r>
              <w:rPr>
                <w:rFonts w:ascii="黑体;方正黑体_GBK" w:hAnsi="黑体;方正黑体_GBK" w:cs="宋体;方正书宋_GBK" w:eastAsia="黑体;方正黑体_GBK"/>
                <w:sz w:val="18"/>
                <w:szCs w:val="18"/>
              </w:rPr>
              <w:t>元</w:t>
            </w:r>
          </w:p>
          <w:p>
            <w:pPr>
              <w:pStyle w:val="BodyTextIndent"/>
              <w:tabs>
                <w:tab w:val="clear" w:pos="420"/>
                <w:tab w:val="left" w:pos="910" w:leader="none"/>
              </w:tabs>
              <w:spacing w:lineRule="exact" w:line="280"/>
              <w:ind w:hanging="0" w:end="0"/>
              <w:rPr>
                <w:rFonts w:ascii="黑体;方正黑体_GBK" w:hAnsi="黑体;方正黑体_GBK" w:eastAsia="黑体;方正黑体_GBK" w:cs="仿宋;方正仿宋_GBK"/>
                <w:color w:val="000000"/>
                <w:sz w:val="18"/>
                <w:szCs w:val="18"/>
              </w:rPr>
            </w:pPr>
            <w:r>
              <w:rPr>
                <w:rFonts w:ascii="黑体;方正黑体_GBK" w:hAnsi="黑体;方正黑体_GBK" w:cs="黑体;方正黑体_GBK" w:eastAsia="黑体;方正黑体_GBK"/>
                <w:b w:val="false"/>
                <w:color w:val="000000"/>
                <w:sz w:val="18"/>
                <w:szCs w:val="18"/>
              </w:rPr>
              <w:t>总计金额（大写）：</w:t>
            </w:r>
            <w:r>
              <w:rPr>
                <w:rFonts w:ascii="黑体;方正黑体_GBK" w:hAnsi="黑体;方正黑体_GBK" w:cs="黑体;方正黑体_GBK" w:eastAsia="黑体;方正黑体_GBK"/>
                <w:b w:val="false"/>
                <w:bCs/>
                <w:color w:val="000000"/>
                <w:sz w:val="18"/>
                <w:szCs w:val="18"/>
                <w:u w:val="single"/>
              </w:rPr>
              <w:t xml:space="preserve">       </w:t>
            </w:r>
            <w:r>
              <w:rPr>
                <w:rFonts w:ascii="黑体;方正黑体_GBK" w:hAnsi="黑体;方正黑体_GBK" w:cs="黑体;方正黑体_GBK" w:eastAsia="黑体;方正黑体_GBK"/>
                <w:b w:val="false"/>
                <w:color w:val="000000"/>
                <w:sz w:val="18"/>
                <w:szCs w:val="18"/>
              </w:rPr>
              <w:t>佰</w:t>
            </w:r>
            <w:r>
              <w:rPr>
                <w:rFonts w:ascii="黑体;方正黑体_GBK" w:hAnsi="黑体;方正黑体_GBK" w:cs="黑体;方正黑体_GBK" w:eastAsia="黑体;方正黑体_GBK"/>
                <w:b w:val="false"/>
                <w:bCs/>
                <w:color w:val="000000"/>
                <w:sz w:val="18"/>
                <w:szCs w:val="18"/>
                <w:u w:val="single"/>
              </w:rPr>
              <w:t xml:space="preserve">       </w:t>
            </w:r>
            <w:r>
              <w:rPr>
                <w:rFonts w:ascii="黑体;方正黑体_GBK" w:hAnsi="黑体;方正黑体_GBK" w:cs="黑体;方正黑体_GBK" w:eastAsia="黑体;方正黑体_GBK"/>
                <w:b w:val="false"/>
                <w:color w:val="000000"/>
                <w:sz w:val="18"/>
                <w:szCs w:val="18"/>
              </w:rPr>
              <w:t>拾</w:t>
            </w:r>
            <w:r>
              <w:rPr>
                <w:rFonts w:ascii="黑体;方正黑体_GBK" w:hAnsi="黑体;方正黑体_GBK" w:cs="黑体;方正黑体_GBK" w:eastAsia="黑体;方正黑体_GBK"/>
                <w:b w:val="false"/>
                <w:bCs/>
                <w:color w:val="000000"/>
                <w:sz w:val="18"/>
                <w:szCs w:val="18"/>
                <w:u w:val="single"/>
              </w:rPr>
              <w:t xml:space="preserve">       </w:t>
            </w:r>
            <w:r>
              <w:rPr>
                <w:rFonts w:ascii="黑体;方正黑体_GBK" w:hAnsi="黑体;方正黑体_GBK" w:cs="黑体;方正黑体_GBK" w:eastAsia="黑体;方正黑体_GBK"/>
                <w:b w:val="false"/>
                <w:color w:val="000000"/>
                <w:sz w:val="18"/>
                <w:szCs w:val="18"/>
              </w:rPr>
              <w:t>万</w:t>
            </w:r>
            <w:r>
              <w:rPr>
                <w:rFonts w:ascii="黑体;方正黑体_GBK" w:hAnsi="黑体;方正黑体_GBK" w:cs="黑体;方正黑体_GBK" w:eastAsia="黑体;方正黑体_GBK"/>
                <w:b w:val="false"/>
                <w:bCs/>
                <w:color w:val="000000"/>
                <w:sz w:val="18"/>
                <w:szCs w:val="18"/>
                <w:u w:val="single"/>
              </w:rPr>
              <w:t xml:space="preserve">       </w:t>
            </w:r>
            <w:r>
              <w:rPr>
                <w:rFonts w:ascii="黑体;方正黑体_GBK" w:hAnsi="黑体;方正黑体_GBK" w:cs="黑体;方正黑体_GBK" w:eastAsia="黑体;方正黑体_GBK"/>
                <w:b w:val="false"/>
                <w:color w:val="000000"/>
                <w:sz w:val="18"/>
                <w:szCs w:val="18"/>
              </w:rPr>
              <w:t>仟</w:t>
            </w:r>
            <w:r>
              <w:rPr>
                <w:rFonts w:ascii="黑体;方正黑体_GBK" w:hAnsi="黑体;方正黑体_GBK" w:cs="黑体;方正黑体_GBK" w:eastAsia="黑体;方正黑体_GBK"/>
                <w:b w:val="false"/>
                <w:bCs/>
                <w:color w:val="000000"/>
                <w:sz w:val="18"/>
                <w:szCs w:val="18"/>
                <w:u w:val="single"/>
              </w:rPr>
              <w:t xml:space="preserve">       </w:t>
            </w:r>
            <w:r>
              <w:rPr>
                <w:rFonts w:ascii="黑体;方正黑体_GBK" w:hAnsi="黑体;方正黑体_GBK" w:cs="黑体;方正黑体_GBK" w:eastAsia="黑体;方正黑体_GBK"/>
                <w:b w:val="false"/>
                <w:color w:val="000000"/>
                <w:sz w:val="18"/>
                <w:szCs w:val="18"/>
              </w:rPr>
              <w:t>佰</w:t>
            </w:r>
            <w:r>
              <w:rPr>
                <w:rFonts w:ascii="黑体;方正黑体_GBK" w:hAnsi="黑体;方正黑体_GBK" w:cs="黑体;方正黑体_GBK" w:eastAsia="黑体;方正黑体_GBK"/>
                <w:b w:val="false"/>
                <w:bCs/>
                <w:color w:val="000000"/>
                <w:sz w:val="18"/>
                <w:szCs w:val="18"/>
                <w:u w:val="single"/>
              </w:rPr>
              <w:t xml:space="preserve">       </w:t>
            </w:r>
            <w:r>
              <w:rPr>
                <w:rFonts w:ascii="黑体;方正黑体_GBK" w:hAnsi="黑体;方正黑体_GBK" w:cs="黑体;方正黑体_GBK" w:eastAsia="黑体;方正黑体_GBK"/>
                <w:b w:val="false"/>
                <w:color w:val="000000"/>
                <w:sz w:val="18"/>
                <w:szCs w:val="18"/>
              </w:rPr>
              <w:t>拾</w:t>
            </w:r>
            <w:r>
              <w:rPr>
                <w:rFonts w:ascii="黑体;方正黑体_GBK" w:hAnsi="黑体;方正黑体_GBK" w:cs="黑体;方正黑体_GBK" w:eastAsia="黑体;方正黑体_GBK"/>
                <w:b w:val="false"/>
                <w:bCs/>
                <w:color w:val="000000"/>
                <w:sz w:val="18"/>
                <w:szCs w:val="18"/>
                <w:u w:val="single"/>
              </w:rPr>
              <w:t xml:space="preserve">       </w:t>
            </w:r>
            <w:r>
              <w:rPr>
                <w:rFonts w:ascii="黑体;方正黑体_GBK" w:hAnsi="黑体;方正黑体_GBK" w:cs="黑体;方正黑体_GBK" w:eastAsia="黑体;方正黑体_GBK"/>
                <w:b w:val="false"/>
                <w:color w:val="000000"/>
                <w:sz w:val="18"/>
                <w:szCs w:val="18"/>
              </w:rPr>
              <w:t>元</w:t>
            </w:r>
            <w:r>
              <w:rPr>
                <w:rFonts w:ascii="黑体;方正黑体_GBK" w:hAnsi="黑体;方正黑体_GBK" w:cs="黑体;方正黑体_GBK" w:eastAsia="黑体;方正黑体_GBK"/>
                <w:b w:val="false"/>
                <w:bCs/>
                <w:color w:val="000000"/>
                <w:sz w:val="18"/>
                <w:szCs w:val="18"/>
                <w:u w:val="single"/>
              </w:rPr>
              <w:t xml:space="preserve">       </w:t>
            </w:r>
            <w:r>
              <w:rPr>
                <w:rFonts w:ascii="黑体;方正黑体_GBK" w:hAnsi="黑体;方正黑体_GBK" w:cs="黑体;方正黑体_GBK" w:eastAsia="黑体;方正黑体_GBK"/>
                <w:b w:val="false"/>
                <w:color w:val="000000"/>
                <w:sz w:val="18"/>
                <w:szCs w:val="18"/>
              </w:rPr>
              <w:t>角   ￥：</w:t>
            </w:r>
            <w:r>
              <w:rPr>
                <w:rFonts w:ascii="黑体;方正黑体_GBK" w:hAnsi="黑体;方正黑体_GBK" w:cs="黑体;方正黑体_GBK" w:eastAsia="黑体;方正黑体_GBK"/>
                <w:b w:val="false"/>
                <w:bCs/>
                <w:color w:val="000000"/>
                <w:sz w:val="18"/>
                <w:szCs w:val="18"/>
                <w:u w:val="single"/>
              </w:rPr>
              <w:t xml:space="preserve">                 </w:t>
            </w:r>
            <w:r>
              <w:rPr>
                <w:rFonts w:ascii="黑体;方正黑体_GBK" w:hAnsi="黑体;方正黑体_GBK" w:cs="黑体;方正黑体_GBK" w:eastAsia="黑体;方正黑体_GBK"/>
                <w:b w:val="false"/>
                <w:color w:val="000000"/>
                <w:sz w:val="18"/>
                <w:szCs w:val="18"/>
              </w:rPr>
              <w:t>元</w:t>
            </w:r>
          </w:p>
        </w:tc>
      </w:tr>
    </w:tbl>
    <w:p>
      <w:pPr>
        <w:pStyle w:val="Normal"/>
        <w:spacing w:lineRule="exact" w:line="300"/>
        <w:rPr>
          <w:rFonts w:ascii="黑体;方正黑体_GBK" w:hAnsi="黑体;方正黑体_GBK" w:eastAsia="黑体;方正黑体_GBK" w:cs="黑体;方正黑体_GBK"/>
          <w:b/>
          <w:bCs/>
          <w:sz w:val="18"/>
          <w:szCs w:val="18"/>
        </w:rPr>
      </w:pPr>
      <w:r>
        <w:rPr>
          <w:rFonts w:ascii="黑体;方正黑体_GBK" w:hAnsi="黑体;方正黑体_GBK" w:cs="黑体;方正黑体_GBK" w:eastAsia="黑体;方正黑体_GBK"/>
          <w:sz w:val="18"/>
          <w:szCs w:val="18"/>
        </w:rPr>
        <w:t>第二</w:t>
      </w:r>
      <w:r>
        <w:rPr>
          <w:rFonts w:ascii="黑体;方正黑体_GBK" w:hAnsi="黑体;方正黑体_GBK" w:cs="黑体;方正黑体_GBK" w:eastAsia="黑体;方正黑体_GBK"/>
          <w:sz w:val="18"/>
          <w:szCs w:val="18"/>
        </w:rPr>
        <w:t>条</w:t>
      </w:r>
      <w:r>
        <w:rPr>
          <w:rFonts w:ascii="黑体;方正黑体_GBK" w:hAnsi="黑体;方正黑体_GBK" w:cs="黑体;方正黑体_GBK" w:eastAsia="黑体;方正黑体_GBK"/>
          <w:b/>
          <w:bCs/>
          <w:sz w:val="18"/>
          <w:szCs w:val="18"/>
        </w:rPr>
        <w:t xml:space="preserve"> </w:t>
      </w:r>
      <w:r>
        <w:rPr>
          <w:rFonts w:ascii="黑体;方正黑体_GBK" w:hAnsi="黑体;方正黑体_GBK" w:cs="黑体;方正黑体_GBK" w:eastAsia="黑体;方正黑体_GBK"/>
          <w:b/>
          <w:bCs/>
          <w:sz w:val="18"/>
          <w:szCs w:val="18"/>
        </w:rPr>
        <w:t>定作设计</w:t>
      </w:r>
    </w:p>
    <w:p>
      <w:pPr>
        <w:pStyle w:val="Normal"/>
        <w:spacing w:lineRule="exact" w:line="300"/>
        <w:ind w:firstLine="360" w:end="0"/>
        <w:rPr>
          <w:rFonts w:ascii="黑体;方正黑体_GBK" w:hAnsi="黑体;方正黑体_GBK" w:eastAsia="黑体;方正黑体_GBK" w:cs="宋体;方正书宋_GBK"/>
          <w:b/>
          <w:sz w:val="18"/>
          <w:szCs w:val="18"/>
        </w:rPr>
      </w:pPr>
      <w:r>
        <w:rPr>
          <w:rFonts w:ascii="黑体;方正黑体_GBK" w:hAnsi="黑体;方正黑体_GBK" w:cs="宋体;方正书宋_GBK" w:eastAsia="黑体;方正黑体_GBK"/>
          <w:sz w:val="18"/>
          <w:szCs w:val="18"/>
        </w:rPr>
        <w:t>设计方案必须符合小区物业、水、电、气、暖等的装修规定。承揽方应依据定作方需求在</w:t>
      </w:r>
      <w:r>
        <w:rPr>
          <w:rFonts w:ascii="黑体;方正黑体_GBK" w:hAnsi="黑体;方正黑体_GBK" w:cs="宋体;方正书宋_GBK" w:eastAsia="黑体;方正黑体_GBK"/>
          <w:sz w:val="18"/>
          <w:szCs w:val="18"/>
          <w:u w:val="single"/>
        </w:rPr>
        <w:t>{时间}时将设计图纸一式</w:t>
      </w:r>
      <w:r>
        <w:rPr>
          <w:rFonts w:ascii="黑体;方正黑体_GBK" w:hAnsi="黑体;方正黑体_GBK" w:cs="宋体;方正书宋_GBK" w:eastAsia="黑体;方正黑体_GBK"/>
          <w:sz w:val="18"/>
          <w:szCs w:val="18"/>
        </w:rPr>
        <w:t>两份交定作方，并由双方签字/盖章确认后作为</w:t>
      </w:r>
      <w:r>
        <w:rPr>
          <w:rFonts w:eastAsia="黑体;方正黑体_GBK" w:cs="宋体;方正书宋_GBK" w:ascii="黑体;方正黑体_GBK" w:hAnsi="黑体;方正黑体_GBK"/>
          <w:sz w:val="18"/>
          <w:szCs w:val="18"/>
        </w:rPr>
        <w:t>合</w:t>
      </w:r>
      <w:r>
        <w:rPr>
          <w:rFonts w:ascii="黑体;方正黑体_GBK" w:hAnsi="黑体;方正黑体_GBK" w:cs="宋体;方正书宋_GBK" w:eastAsia="黑体;方正黑体_GBK"/>
          <w:sz w:val="18"/>
          <w:szCs w:val="18"/>
        </w:rPr>
        <w:t>同附件。承揽方对设计方案提出保密要求的，定作方应遵守保密义务。设计图纸经双方确</w:t>
      </w:r>
      <w:r>
        <w:rPr>
          <w:rFonts w:ascii="黑体;方正黑体_GBK" w:hAnsi="黑体;方正黑体_GBK" w:cs="宋体;方正书宋_GBK" w:eastAsia="黑体;方正黑体_GBK"/>
          <w:b/>
          <w:sz w:val="18"/>
          <w:szCs w:val="18"/>
          <w:u w:val="dotted"/>
        </w:rPr>
        <w:t>认后，经双方同意方可更改并重新书面确认。更改所造成的责任</w:t>
      </w:r>
      <w:r>
        <w:rPr>
          <w:rFonts w:ascii="黑体;方正黑体_GBK" w:hAnsi="黑体;方正黑体_GBK" w:cs="宋体;方正书宋_GBK" w:eastAsia="黑体;方正黑体_GBK"/>
          <w:sz w:val="18"/>
          <w:szCs w:val="18"/>
        </w:rPr>
        <w:t>（延期交货、安装和费用增减及损失），由更改方承担。</w:t>
      </w:r>
    </w:p>
    <w:p>
      <w:pPr>
        <w:pStyle w:val="Normal"/>
        <w:spacing w:lineRule="exact" w:line="300"/>
        <w:ind w:firstLine="352" w:end="0"/>
        <w:rPr>
          <w:rFonts w:ascii="黑体;方正黑体_GBK" w:hAnsi="黑体;方正黑体_GBK" w:eastAsia="黑体;方正黑体_GBK" w:cs="黑体;方正黑体_GBK"/>
          <w:sz w:val="18"/>
          <w:szCs w:val="18"/>
        </w:rPr>
      </w:pPr>
      <w:r>
        <w:rPr>
          <w:rFonts w:ascii="黑体;方正黑体_GBK" w:hAnsi="黑体;方正黑体_GBK" w:cs="黑体;方正黑体_GBK" w:eastAsia="黑体;方正黑体_GBK"/>
          <w:b/>
          <w:bCs/>
          <w:sz w:val="18"/>
          <w:szCs w:val="18"/>
        </w:rPr>
        <w:t xml:space="preserve">第三条 付款方式 </w:t>
      </w:r>
      <w:r>
        <w:rPr>
          <w:rFonts w:ascii="黑体;方正黑体_GBK" w:hAnsi="黑体;方正黑体_GBK" w:cs="黑体;方正黑体_GBK" w:eastAsia="黑体;方正黑体_GBK"/>
          <w:sz w:val="18"/>
          <w:szCs w:val="18"/>
        </w:rPr>
        <w:t xml:space="preserve"> </w:t>
      </w:r>
      <w:r>
        <w:rPr>
          <w:rFonts w:ascii="黑体;方正黑体_GBK" w:hAnsi="黑体;方正黑体_GBK" w:cs="宋体;方正书宋_GBK" w:eastAsia="黑体;方正黑体_GBK"/>
          <w:sz w:val="18"/>
          <w:szCs w:val="18"/>
        </w:rPr>
        <w:t>□定作方在签约时一次性支付全部价款。□定作方在签约时支付</w:t>
      </w:r>
      <w:r>
        <w:rPr>
          <w:rFonts w:ascii="黑体;方正黑体_GBK" w:hAnsi="黑体;方正黑体_GBK" w:cs="宋体;方正书宋_GBK" w:eastAsia="黑体;方正黑体_GBK"/>
          <w:sz w:val="18"/>
          <w:szCs w:val="18"/>
          <w:u w:val="single"/>
        </w:rPr>
        <w:t>{定金金额}元定</w:t>
      </w:r>
      <w:r>
        <w:rPr>
          <w:rFonts w:ascii="黑体;方正黑体_GBK" w:hAnsi="黑体;方正黑体_GBK" w:cs="宋体;方正书宋_GBK" w:eastAsia="黑体;方正黑体_GBK"/>
          <w:sz w:val="18"/>
          <w:szCs w:val="18"/>
        </w:rPr>
        <w:t>金（不得超过全部价款的20</w:t>
      </w:r>
      <w:r>
        <w:rPr>
          <w:rFonts w:eastAsia="黑体;方正黑体_GBK" w:cs="宋体;方正书宋_GBK" w:ascii="黑体;方正黑体_GBK" w:hAnsi="黑体;方正黑体_GBK"/>
          <w:sz w:val="18"/>
          <w:szCs w:val="18"/>
        </w:rPr>
        <w:t>%），</w:t>
      </w:r>
      <w:r>
        <w:rPr>
          <w:rFonts w:ascii="黑体;方正黑体_GBK" w:hAnsi="黑体;方正黑体_GBK" w:cs="宋体;方正书宋_GBK" w:eastAsia="黑体;方正黑体_GBK"/>
          <w:sz w:val="18"/>
          <w:szCs w:val="18"/>
        </w:rPr>
        <w:t>余款{余</w:t>
      </w:r>
      <w:r>
        <w:rPr>
          <w:rFonts w:ascii="黑体;方正黑体_GBK" w:hAnsi="黑体;方正黑体_GBK" w:cs="宋体;方正书宋_GBK" w:eastAsia="黑体;方正黑体_GBK"/>
          <w:sz w:val="18"/>
          <w:szCs w:val="18"/>
          <w:u w:val="single"/>
        </w:rPr>
        <w:t>款金额}元应在{付款</w:t>
      </w:r>
      <w:r>
        <w:rPr>
          <w:rFonts w:ascii="黑体;方正黑体_GBK" w:hAnsi="黑体;方正黑体_GBK" w:cs="宋体;方正书宋_GBK" w:eastAsia="黑体;方正黑体_GBK"/>
          <w:sz w:val="18"/>
          <w:szCs w:val="18"/>
        </w:rPr>
        <w:t>时间}</w:t>
      </w:r>
      <w:r>
        <w:rPr>
          <w:rFonts w:ascii="黑体;方正黑体_GBK" w:hAnsi="黑体;方正黑体_GBK" w:cs="宋体;方正书宋_GBK" w:eastAsia="黑体;方正黑体_GBK"/>
          <w:sz w:val="18"/>
          <w:szCs w:val="18"/>
          <w:u w:val="single"/>
        </w:rPr>
        <w:t>时付清。定作方违约退货</w:t>
      </w:r>
      <w:r>
        <w:rPr>
          <w:rFonts w:ascii="黑体;方正黑体_GBK" w:hAnsi="黑体;方正黑体_GBK" w:cs="宋体;方正书宋_GBK" w:eastAsia="黑体;方正黑体_GBK"/>
          <w:sz w:val="18"/>
          <w:szCs w:val="18"/>
        </w:rPr>
        <w:t>的，无权要求返还定金；承揽方违约不能交付定作商品的，应双倍返还定金。</w:t>
      </w:r>
    </w:p>
    <w:p>
      <w:pPr>
        <w:pStyle w:val="Normal"/>
        <w:spacing w:lineRule="exact" w:line="300"/>
        <w:ind w:firstLine="360" w:end="0"/>
        <w:rPr>
          <w:rFonts w:ascii="黑体;方正黑体_GBK" w:hAnsi="黑体;方正黑体_GBK" w:eastAsia="黑体;方正黑体_GBK" w:cs="黑体;方正黑体_GBK"/>
          <w:sz w:val="18"/>
          <w:szCs w:val="18"/>
        </w:rPr>
      </w:pPr>
      <w:r>
        <w:rPr>
          <w:rFonts w:ascii="黑体;方正黑体_GBK" w:hAnsi="黑体;方正黑体_GBK" w:cs="黑体;方正黑体_GBK" w:eastAsia="黑体;方正黑体_GBK"/>
          <w:b/>
          <w:bCs/>
          <w:sz w:val="18"/>
          <w:szCs w:val="18"/>
        </w:rPr>
        <w:t>第四条 定作商品交付</w:t>
      </w:r>
    </w:p>
    <w:p>
      <w:pPr>
        <w:pStyle w:val="Normal"/>
        <w:spacing w:lineRule="exact" w:line="300"/>
        <w:ind w:firstLine="360" w:end="0"/>
        <w:rPr>
          <w:rFonts w:ascii="黑体;方正黑体_GBK" w:hAnsi="黑体;方正黑体_GBK" w:eastAsia="黑体;方正黑体_GBK" w:cs="宋体;方正书宋_GBK"/>
          <w:sz w:val="18"/>
          <w:szCs w:val="18"/>
        </w:rPr>
      </w:pPr>
      <w:r>
        <w:rPr>
          <w:rFonts w:ascii="黑体;方正黑体_GBK" w:hAnsi="黑体;方正黑体_GBK" w:cs="黑体;方正黑体_GBK" w:eastAsia="黑体;方正黑体_GBK"/>
          <w:sz w:val="18"/>
          <w:szCs w:val="18"/>
        </w:rPr>
        <w:t>□</w:t>
      </w:r>
      <w:r>
        <w:rPr>
          <w:rFonts w:ascii="黑体;方正黑体_GBK" w:hAnsi="黑体;方正黑体_GBK" w:cs="宋体;方正书宋_GBK" w:eastAsia="黑体;方正黑体_GBK"/>
          <w:sz w:val="18"/>
          <w:szCs w:val="18"/>
        </w:rPr>
        <w:t xml:space="preserve">承揽方送货 </w:t>
      </w:r>
      <w:r>
        <w:rPr>
          <w:rFonts w:eastAsia="黑体;方正黑体_GBK" w:cs="宋体;方正书宋_GBK" w:ascii="黑体;方正黑体_GBK" w:hAnsi="黑体;方正黑体_GBK"/>
          <w:sz w:val="18"/>
          <w:szCs w:val="18"/>
        </w:rPr>
        <w:t>/ □</w:t>
      </w:r>
      <w:r>
        <w:rPr>
          <w:rFonts w:ascii="黑体;方正黑体_GBK" w:hAnsi="黑体;方正黑体_GBK" w:cs="宋体;方正书宋_GBK" w:eastAsia="黑体;方正黑体_GBK"/>
          <w:sz w:val="18"/>
          <w:szCs w:val="18"/>
        </w:rPr>
        <w:t>定作方自提  交货时间：</w:t>
      </w:r>
      <w:r>
        <w:rPr>
          <w:rFonts w:ascii="黑体;方正黑体_GBK" w:hAnsi="黑体;方正黑体_GBK" w:cs="宋体;方正书宋_GBK" w:eastAsia="黑体;方正黑体_GBK"/>
          <w:sz w:val="18"/>
          <w:szCs w:val="18"/>
          <w:u w:val="single"/>
        </w:rPr>
        <w:t>{交货时间}</w:t>
      </w:r>
      <w:r>
        <w:rPr>
          <w:rFonts w:ascii="黑体;方正黑体_GBK" w:hAnsi="黑体;方正黑体_GBK" w:cs="宋体;方正书宋_GBK" w:eastAsia="黑体;方正黑体_GBK"/>
          <w:sz w:val="18"/>
          <w:szCs w:val="18"/>
        </w:rPr>
        <w:t>；</w:t>
      </w:r>
      <w:r>
        <w:rPr>
          <w:rFonts w:ascii="黑体;方正黑体_GBK" w:hAnsi="黑体;方正黑体_GBK" w:cs="宋体;方正书宋_GBK" w:eastAsia="黑体;方正黑体_GBK"/>
          <w:sz w:val="18"/>
          <w:szCs w:val="18"/>
          <w:u w:val="single"/>
        </w:rPr>
        <w:t>交货地点</w:t>
      </w:r>
      <w:r>
        <w:rPr>
          <w:rFonts w:ascii="黑体;方正黑体_GBK" w:hAnsi="黑体;方正黑体_GBK" w:cs="宋体;方正书宋_GBK" w:eastAsia="黑体;方正黑体_GBK"/>
          <w:sz w:val="18"/>
          <w:szCs w:val="18"/>
        </w:rPr>
        <w:t>：</w:t>
      </w:r>
      <w:r>
        <w:rPr>
          <w:rFonts w:ascii="黑体;方正黑体_GBK" w:hAnsi="黑体;方正黑体_GBK" w:cs="宋体;方正书宋_GBK" w:eastAsia="黑体;方正黑体_GBK"/>
          <w:sz w:val="18"/>
          <w:szCs w:val="18"/>
          <w:u w:val="single"/>
        </w:rPr>
        <w:t>{交货地</w:t>
      </w:r>
      <w:r>
        <w:rPr>
          <w:rFonts w:ascii="黑体;方正黑体_GBK" w:hAnsi="黑体;方正黑体_GBK" w:cs="宋体;方正书宋_GBK" w:eastAsia="黑体;方正黑体_GBK"/>
          <w:sz w:val="18"/>
          <w:szCs w:val="18"/>
        </w:rPr>
        <w:t>点} 。</w:t>
      </w:r>
      <w:r>
        <w:rPr>
          <w:rFonts w:ascii="黑体;方正黑体_GBK" w:hAnsi="黑体;方正黑体_GBK" w:cs="宋体;方正书宋_GBK" w:eastAsia="黑体;方正黑体_GBK"/>
          <w:sz w:val="18"/>
          <w:szCs w:val="18"/>
          <w:u w:val="single"/>
        </w:rPr>
      </w:r>
      <w:r>
        <w:rPr>
          <w:rFonts w:ascii="黑体;方正黑体_GBK" w:hAnsi="黑体;方正黑体_GBK" w:cs="宋体;方正书宋_GBK" w:eastAsia="黑体;方正黑体_GBK"/>
          <w:sz w:val="18"/>
          <w:szCs w:val="18"/>
        </w:rPr>
      </w:r>
    </w:p>
    <w:p>
      <w:pPr>
        <w:pStyle w:val="Normal"/>
        <w:spacing w:lineRule="exact" w:line="300"/>
        <w:ind w:firstLine="360" w:end="0"/>
        <w:rPr>
          <w:rFonts w:ascii="黑体;方正黑体_GBK" w:hAnsi="黑体;方正黑体_GBK" w:eastAsia="黑体;方正黑体_GBK" w:cs="宋体;方正书宋_GBK"/>
          <w:sz w:val="18"/>
          <w:szCs w:val="18"/>
        </w:rPr>
      </w:pPr>
      <w:r>
        <w:rPr>
          <w:rFonts w:ascii="黑体;方正黑体_GBK" w:hAnsi="黑体;方正黑体_GBK" w:cs="黑体;方正黑体_GBK" w:eastAsia="黑体;方正黑体_GBK"/>
          <w:sz w:val="18"/>
          <w:szCs w:val="18"/>
        </w:rPr>
        <w:t>□</w:t>
      </w:r>
      <w:r>
        <w:rPr>
          <w:rFonts w:ascii="黑体;方正黑体_GBK" w:hAnsi="黑体;方正黑体_GBK" w:cs="宋体;方正书宋_GBK" w:eastAsia="黑体;方正黑体_GBK"/>
          <w:sz w:val="18"/>
          <w:szCs w:val="18"/>
        </w:rPr>
        <w:t>承揽方安装  承揽方在</w:t>
      </w:r>
      <w:r>
        <w:rPr>
          <w:rFonts w:ascii="黑体;方正黑体_GBK" w:hAnsi="黑体;方正黑体_GBK" w:cs="宋体;方正书宋_GBK" w:eastAsia="黑体;方正黑体_GBK"/>
          <w:sz w:val="18"/>
          <w:szCs w:val="18"/>
          <w:u w:val="single"/>
        </w:rPr>
        <w:t xml:space="preserve">          </w:t>
      </w:r>
      <w:r>
        <w:rPr>
          <w:rFonts w:ascii="黑体;方正黑体_GBK" w:hAnsi="黑体;方正黑体_GBK" w:cs="宋体;方正书宋_GBK" w:eastAsia="黑体;方正黑体_GBK"/>
          <w:sz w:val="18"/>
          <w:szCs w:val="18"/>
        </w:rPr>
        <w:t>时完成定作商品的安装和调试。</w:t>
      </w:r>
      <w:r>
        <w:rPr>
          <w:rFonts w:ascii="黑体;方正黑体_GBK" w:hAnsi="黑体;方正黑体_GBK" w:eastAsia="黑体;方正黑体_GBK"/>
          <w:sz w:val="18"/>
          <w:szCs w:val="18"/>
        </w:rPr>
        <w:t xml:space="preserve">定制商品安装、调试完毕后，定作方应当自安装、调试完毕起 </w:t>
      </w:r>
      <w:r>
        <w:rPr>
          <w:rFonts w:ascii="黑体;方正黑体_GBK" w:hAnsi="黑体;方正黑体_GBK" w:eastAsia="黑体;方正黑体_GBK"/>
          <w:sz w:val="18"/>
          <w:szCs w:val="18"/>
          <w:u w:val="single"/>
        </w:rPr>
        <w:t xml:space="preserve">    </w:t>
      </w:r>
      <w:r>
        <w:rPr>
          <w:rFonts w:ascii="黑体;方正黑体_GBK" w:hAnsi="黑体;方正黑体_GBK" w:eastAsia="黑体;方正黑体_GBK"/>
          <w:sz w:val="18"/>
          <w:szCs w:val="18"/>
        </w:rPr>
        <w:t>日内进行验收，并书面确认。</w:t>
      </w:r>
      <w:r>
        <w:rPr>
          <w:rFonts w:ascii="黑体;方正黑体_GBK" w:hAnsi="黑体;方正黑体_GBK" w:cs="宋体;方正书宋_GBK" w:eastAsia="黑体;方正黑体_GBK"/>
          <w:sz w:val="18"/>
          <w:szCs w:val="18"/>
        </w:rPr>
        <w:t>安装地点：</w:t>
      </w:r>
      <w:r>
        <w:rPr>
          <w:rFonts w:ascii="黑体;方正黑体_GBK" w:hAnsi="黑体;方正黑体_GBK" w:cs="宋体;方正书宋_GBK" w:eastAsia="黑体;方正黑体_GBK"/>
          <w:sz w:val="18"/>
          <w:szCs w:val="18"/>
          <w:u w:val="single"/>
        </w:rPr>
        <w:t>{安装地点}。</w:t>
      </w:r>
      <w:r>
        <w:rPr>
          <w:rFonts w:ascii="黑体;方正黑体_GBK" w:hAnsi="黑体;方正黑体_GBK" w:cs="宋体;方正书宋_GBK" w:eastAsia="黑体;方正黑体_GBK"/>
          <w:sz w:val="18"/>
          <w:szCs w:val="18"/>
        </w:rPr>
      </w:r>
    </w:p>
    <w:p>
      <w:pPr>
        <w:pStyle w:val="Normal"/>
        <w:spacing w:lineRule="exact" w:line="300"/>
        <w:ind w:firstLine="360" w:end="0"/>
        <w:rPr>
          <w:rFonts w:ascii="黑体;方正黑体_GBK" w:hAnsi="黑体;方正黑体_GBK" w:eastAsia="黑体;方正黑体_GBK" w:cs="宋体;方正书宋_GBK"/>
          <w:sz w:val="18"/>
          <w:szCs w:val="18"/>
        </w:rPr>
      </w:pPr>
      <w:r>
        <w:rPr>
          <w:rFonts w:ascii="黑体;方正黑体_GBK" w:hAnsi="黑体;方正黑体_GBK" w:cs="黑体;方正黑体_GBK" w:eastAsia="黑体;方正黑体_GBK"/>
          <w:b/>
          <w:bCs/>
          <w:sz w:val="18"/>
          <w:szCs w:val="18"/>
        </w:rPr>
        <w:t>第五条 售后</w:t>
      </w:r>
      <w:r>
        <w:rPr>
          <w:rFonts w:ascii="黑体;方正黑体_GBK" w:hAnsi="黑体;方正黑体_GBK" w:cs="宋体;方正书宋_GBK" w:eastAsia="黑体;方正黑体_GBK"/>
          <w:sz w:val="18"/>
          <w:szCs w:val="18"/>
        </w:rPr>
        <w:t xml:space="preserve">  正常使用条件下，本合同项下的定作商品“三包”期限为</w:t>
      </w:r>
      <w:r>
        <w:rPr>
          <w:rFonts w:ascii="黑体;方正黑体_GBK" w:hAnsi="黑体;方正黑体_GBK" w:cs="宋体;方正书宋_GBK" w:eastAsia="黑体;方正黑体_GBK"/>
          <w:sz w:val="18"/>
          <w:szCs w:val="18"/>
          <w:u w:val="single"/>
        </w:rPr>
        <w:t xml:space="preserve"> {三包期限} ，如出现质量问题</w:t>
      </w:r>
      <w:r>
        <w:rPr>
          <w:rFonts w:ascii="黑体;方正黑体_GBK" w:hAnsi="黑体;方正黑体_GBK" w:cs="宋体;方正书宋_GBK" w:eastAsia="黑体;方正黑体_GBK"/>
          <w:sz w:val="18"/>
          <w:szCs w:val="18"/>
        </w:rPr>
        <w:t>，承揽方应承担定作商品的修理、更换、退货责任。保修期内，承揽方在接到定作方维修通知    日内，派</w:t>
      </w:r>
      <w:r>
        <w:rPr>
          <w:rFonts w:ascii="黑体;方正黑体_GBK" w:hAnsi="黑体;方正黑体_GBK" w:cs="宋体;方正书宋_GBK" w:eastAsia="黑体;方正黑体_GBK"/>
          <w:sz w:val="18"/>
          <w:szCs w:val="18"/>
          <w:u w:val="single"/>
        </w:rPr>
        <w:t>专人免费</w:t>
      </w:r>
      <w:r>
        <w:rPr>
          <w:rFonts w:ascii="黑体;方正黑体_GBK" w:hAnsi="黑体;方正黑体_GBK" w:cs="宋体;方正书宋_GBK" w:eastAsia="黑体;方正黑体_GBK"/>
          <w:sz w:val="18"/>
          <w:szCs w:val="18"/>
        </w:rPr>
        <w:t>维修。因使用不当造成的产品损坏，定作方应支付维修费用。</w:t>
      </w:r>
    </w:p>
    <w:p>
      <w:pPr>
        <w:pStyle w:val="Normal"/>
        <w:spacing w:lineRule="exact" w:line="300"/>
        <w:ind w:firstLine="360" w:end="0"/>
        <w:rPr>
          <w:rFonts w:ascii="黑体;方正黑体_GBK" w:hAnsi="黑体;方正黑体_GBK" w:eastAsia="黑体;方正黑体_GBK" w:cs="黑体;方正黑体_GBK"/>
          <w:b/>
          <w:sz w:val="18"/>
          <w:szCs w:val="18"/>
        </w:rPr>
      </w:pPr>
      <w:r>
        <w:rPr>
          <w:rFonts w:ascii="黑体;方正黑体_GBK" w:hAnsi="黑体;方正黑体_GBK" w:cs="黑体;方正黑体_GBK" w:eastAsia="黑体;方正黑体_GBK"/>
          <w:b/>
          <w:bCs/>
          <w:sz w:val="18"/>
          <w:szCs w:val="18"/>
        </w:rPr>
        <w:t>第六条</w:t>
      </w:r>
      <w:r>
        <w:rPr>
          <w:rFonts w:ascii="黑体;方正黑体_GBK" w:hAnsi="黑体;方正黑体_GBK" w:cs="黑体;方正黑体_GBK" w:eastAsia="黑体;方正黑体_GBK"/>
          <w:sz w:val="18"/>
          <w:szCs w:val="18"/>
        </w:rPr>
        <w:t xml:space="preserve"> </w:t>
      </w:r>
      <w:r>
        <w:rPr>
          <w:rFonts w:ascii="黑体;方正黑体_GBK" w:hAnsi="黑体;方正黑体_GBK" w:cs="黑体;方正黑体_GBK" w:eastAsia="黑体;方正黑体_GBK"/>
          <w:b/>
          <w:sz w:val="18"/>
          <w:szCs w:val="18"/>
        </w:rPr>
        <w:t>{违约金}</w:t>
      </w:r>
    </w:p>
    <w:p>
      <w:pPr>
        <w:pStyle w:val="BodyTextIndent"/>
        <w:tabs>
          <w:tab w:val="clear" w:pos="420"/>
          <w:tab w:val="left" w:pos="910" w:leader="none"/>
        </w:tabs>
        <w:spacing w:lineRule="exact" w:line="300"/>
        <w:ind w:firstLine="360" w:end="0"/>
        <w:rPr>
          <w:rFonts w:ascii="黑体;方正黑体_GBK" w:hAnsi="黑体;方正黑体_GBK" w:eastAsia="黑体;方正黑体_GBK" w:cs="宋体;方正书宋_GBK"/>
          <w:b w:val="false"/>
          <w:sz w:val="18"/>
          <w:szCs w:val="18"/>
        </w:rPr>
      </w:pPr>
      <w:r>
        <w:rPr>
          <w:rFonts w:eastAsia="黑体;方正黑体_GBK" w:cs="宋体;方正书宋_GBK" w:ascii="黑体;方正黑体_GBK" w:hAnsi="黑体;方正黑体_GBK"/>
          <w:b w:val="false"/>
          <w:sz w:val="18"/>
          <w:szCs w:val="18"/>
        </w:rPr>
        <w:t>1.</w:t>
      </w:r>
      <w:r>
        <w:rPr>
          <w:rFonts w:ascii="黑体;方正黑体_GBK" w:hAnsi="黑体;方正黑体_GBK" w:cs="宋体;方正书宋_GBK" w:eastAsia="黑体;方正黑体_GBK"/>
          <w:b w:val="false"/>
          <w:sz w:val="18"/>
          <w:szCs w:val="18"/>
        </w:rPr>
        <w:t xml:space="preserve"> 承揽方迟延交付定作商品的，应每日向定作方支付迟延交付定作商品价</w:t>
      </w:r>
      <w:r>
        <w:rPr>
          <w:rFonts w:ascii="黑体;方正黑体_GBK" w:hAnsi="黑体;方正黑体_GBK" w:cs="宋体;方正书宋_GBK" w:eastAsia="黑体;方正黑体_GBK"/>
          <w:b w:val="false"/>
          <w:sz w:val="18"/>
          <w:szCs w:val="18"/>
          <w:u w:val="single"/>
        </w:rPr>
        <w:t>款{迟延违</w:t>
      </w:r>
      <w:r>
        <w:rPr>
          <w:rFonts w:eastAsia="黑体;方正黑体_GBK" w:cs="宋体;方正书宋_GBK" w:ascii="黑体;方正黑体_GBK" w:hAnsi="黑体;方正黑体_GBK"/>
          <w:b w:val="false"/>
          <w:sz w:val="18"/>
          <w:szCs w:val="18"/>
        </w:rPr>
        <w:t>约</w:t>
      </w:r>
      <w:r>
        <w:rPr>
          <w:rFonts w:ascii="黑体;方正黑体_GBK" w:hAnsi="黑体;方正黑体_GBK" w:cs="宋体;方正书宋_GBK" w:eastAsia="黑体;方正黑体_GBK"/>
          <w:b w:val="false"/>
          <w:sz w:val="18"/>
          <w:szCs w:val="18"/>
        </w:rPr>
        <w:t>金比例}%的违约金</w:t>
      </w:r>
      <w:r>
        <w:rPr>
          <w:rFonts w:ascii="黑体;方正黑体_GBK" w:hAnsi="黑体;方正黑体_GBK" w:cs="宋体;方正书宋_GBK" w:eastAsia="黑体;方正黑体_GBK"/>
          <w:b w:val="false"/>
          <w:sz w:val="18"/>
          <w:szCs w:val="18"/>
          <w:u w:val="single"/>
        </w:rPr>
        <w:t>，迟延超过</w:t>
      </w:r>
      <w:r>
        <w:rPr>
          <w:rFonts w:ascii="黑体;方正黑体_GBK" w:hAnsi="黑体;方正黑体_GBK" w:cs="宋体;方正书宋_GBK" w:eastAsia="黑体;方正黑体_GBK"/>
          <w:b w:val="false"/>
          <w:sz w:val="18"/>
          <w:szCs w:val="18"/>
        </w:rPr>
        <w:t>{迟延天数}日的，定作方有权解除合同，但因定作方原因导致的迟延除外。</w:t>
      </w:r>
    </w:p>
    <w:p>
      <w:pPr>
        <w:pStyle w:val="BodyTextIndent"/>
        <w:tabs>
          <w:tab w:val="clear" w:pos="420"/>
          <w:tab w:val="left" w:pos="910" w:leader="none"/>
        </w:tabs>
        <w:spacing w:lineRule="exact" w:line="300"/>
        <w:ind w:firstLine="360" w:end="0"/>
        <w:rPr>
          <w:rFonts w:ascii="黑体;方正黑体_GBK" w:hAnsi="黑体;方正黑体_GBK" w:eastAsia="黑体;方正黑体_GBK" w:cs="宋体;方正书宋_GBK"/>
          <w:b w:val="false"/>
          <w:sz w:val="18"/>
          <w:szCs w:val="18"/>
        </w:rPr>
      </w:pPr>
      <w:r>
        <w:rPr>
          <w:rFonts w:eastAsia="黑体;方正黑体_GBK" w:cs="宋体;方正书宋_GBK" w:ascii="黑体;方正黑体_GBK" w:hAnsi="黑体;方正黑体_GBK"/>
          <w:b w:val="false"/>
          <w:sz w:val="18"/>
          <w:szCs w:val="18"/>
        </w:rPr>
        <w:t>2.</w:t>
      </w:r>
      <w:r>
        <w:rPr>
          <w:rFonts w:ascii="黑体;方正黑体_GBK" w:hAnsi="黑体;方正黑体_GBK" w:cs="宋体;方正书宋_GBK" w:eastAsia="黑体;方正黑体_GBK"/>
          <w:b w:val="false"/>
          <w:sz w:val="18"/>
          <w:szCs w:val="18"/>
        </w:rPr>
        <w:t>定作方逾期付款的，应每日向承揽方支付逾期支付金额</w:t>
      </w:r>
      <w:r>
        <w:rPr>
          <w:rFonts w:ascii="黑体;方正黑体_GBK" w:hAnsi="黑体;方正黑体_GBK" w:cs="宋体;方正书宋_GBK" w:eastAsia="黑体;方正黑体_GBK"/>
          <w:b w:val="false"/>
          <w:sz w:val="18"/>
          <w:szCs w:val="18"/>
          <w:u w:val="single"/>
        </w:rPr>
        <w:t>{逾期付款违</w:t>
      </w:r>
      <w:r>
        <w:rPr>
          <w:rFonts w:eastAsia="黑体;方正黑体_GBK" w:cs="宋体;方正书宋_GBK" w:ascii="黑体;方正黑体_GBK" w:hAnsi="黑体;方正黑体_GBK"/>
          <w:b w:val="false"/>
          <w:sz w:val="18"/>
          <w:szCs w:val="18"/>
        </w:rPr>
        <w:t>约</w:t>
      </w:r>
      <w:r>
        <w:rPr>
          <w:rFonts w:ascii="黑体;方正黑体_GBK" w:hAnsi="黑体;方正黑体_GBK" w:cs="宋体;方正书宋_GBK" w:eastAsia="黑体;方正黑体_GBK"/>
          <w:b w:val="false"/>
          <w:sz w:val="18"/>
          <w:szCs w:val="18"/>
        </w:rPr>
        <w:t>金比例}%的违约金</w:t>
      </w:r>
      <w:r>
        <w:rPr>
          <w:rFonts w:ascii="黑体;方正黑体_GBK" w:hAnsi="黑体;方正黑体_GBK" w:cs="宋体;方正书宋_GBK" w:eastAsia="黑体;方正黑体_GBK"/>
          <w:b w:val="false"/>
          <w:sz w:val="18"/>
          <w:szCs w:val="18"/>
          <w:u w:val="single"/>
        </w:rPr>
        <w:t>，逾期超过</w:t>
      </w:r>
      <w:r>
        <w:rPr>
          <w:rFonts w:ascii="黑体;方正黑体_GBK" w:hAnsi="黑体;方正黑体_GBK" w:cs="宋体;方正书宋_GBK" w:eastAsia="黑体;方正黑体_GBK"/>
          <w:b w:val="false"/>
          <w:sz w:val="18"/>
          <w:szCs w:val="18"/>
        </w:rPr>
        <w:t>{逾期天数}日的，承揽方有权解除合同，但因承揽方原因导致的逾期付款除外。</w:t>
      </w:r>
    </w:p>
    <w:p>
      <w:pPr>
        <w:pStyle w:val="BodyTextIndent"/>
        <w:tabs>
          <w:tab w:val="clear" w:pos="420"/>
          <w:tab w:val="left" w:pos="910" w:leader="none"/>
        </w:tabs>
        <w:spacing w:lineRule="exact" w:line="300"/>
        <w:ind w:firstLine="360" w:end="0"/>
        <w:rPr>
          <w:rFonts w:ascii="黑体;方正黑体_GBK" w:hAnsi="黑体;方正黑体_GBK" w:eastAsia="黑体;方正黑体_GBK" w:cs="宋体;方正书宋_GBK"/>
          <w:b w:val="false"/>
          <w:sz w:val="18"/>
          <w:szCs w:val="18"/>
        </w:rPr>
      </w:pPr>
      <w:r>
        <w:rPr>
          <w:rFonts w:eastAsia="黑体;方正黑体_GBK" w:cs="宋体;方正书宋_GBK" w:ascii="黑体;方正黑体_GBK" w:hAnsi="黑体;方正黑体_GBK"/>
          <w:b w:val="false"/>
          <w:sz w:val="18"/>
          <w:szCs w:val="18"/>
        </w:rPr>
        <w:t>3.</w:t>
      </w:r>
      <w:r>
        <w:rPr>
          <w:rFonts w:ascii="黑体;方正黑体_GBK" w:hAnsi="黑体;方正黑体_GBK" w:cs="宋体;方正书宋_GBK" w:eastAsia="黑体;方正黑体_GBK"/>
          <w:b w:val="false"/>
          <w:sz w:val="18"/>
          <w:szCs w:val="18"/>
        </w:rPr>
        <w:t>定作方自提定作商品的，迟延提货超过</w:t>
      </w:r>
      <w:r>
        <w:rPr>
          <w:rFonts w:ascii="黑体;方正黑体_GBK" w:hAnsi="黑体;方正黑体_GBK" w:cs="宋体;方正书宋_GBK" w:eastAsia="黑体;方正黑体_GBK"/>
          <w:b w:val="false"/>
          <w:sz w:val="18"/>
          <w:szCs w:val="18"/>
          <w:u w:val="single"/>
        </w:rPr>
        <w:t>{迟延天数}</w:t>
      </w:r>
      <w:r>
        <w:rPr>
          <w:rFonts w:ascii="黑体;方正黑体_GBK" w:hAnsi="黑体;方正黑体_GBK" w:cs="宋体;方正书宋_GBK" w:eastAsia="黑体;方正黑体_GBK"/>
          <w:b w:val="false"/>
          <w:sz w:val="18"/>
          <w:szCs w:val="18"/>
        </w:rPr>
        <w:t>日的，应每日向承揽方支付</w:t>
      </w:r>
      <w:r>
        <w:rPr>
          <w:rFonts w:ascii="黑体;方正黑体_GBK" w:hAnsi="黑体;方正黑体_GBK" w:cs="宋体;方正书宋_GBK" w:eastAsia="黑体;方正黑体_GBK"/>
          <w:b w:val="false"/>
          <w:sz w:val="18"/>
          <w:szCs w:val="18"/>
          <w:u w:val="single"/>
        </w:rPr>
        <w:t>{每日保管</w:t>
      </w:r>
      <w:r>
        <w:rPr>
          <w:rFonts w:ascii="黑体;方正黑体_GBK" w:hAnsi="黑体;方正黑体_GBK" w:cs="宋体;方正书宋_GBK" w:eastAsia="黑体;方正黑体_GBK"/>
          <w:b w:val="false"/>
          <w:sz w:val="18"/>
          <w:szCs w:val="18"/>
        </w:rPr>
        <w:t>费}元的保管费用，但因承揽方原因导致的迟延除外。</w:t>
      </w:r>
    </w:p>
    <w:p>
      <w:pPr>
        <w:pStyle w:val="Normal"/>
        <w:spacing w:lineRule="exact" w:line="300"/>
        <w:ind w:firstLine="473" w:end="0"/>
        <w:rPr>
          <w:rFonts w:ascii="黑体;方正黑体_GBK" w:hAnsi="黑体;方正黑体_GBK" w:eastAsia="黑体;方正黑体_GBK" w:cs="宋体;方正书宋_GBK"/>
          <w:sz w:val="18"/>
          <w:szCs w:val="18"/>
        </w:rPr>
      </w:pPr>
      <w:r>
        <w:rPr>
          <w:rFonts w:eastAsia="黑体;方正黑体_GBK" w:ascii="黑体;方正黑体_GBK" w:hAnsi="黑体;方正黑体_GBK"/>
          <w:sz w:val="18"/>
          <w:szCs w:val="18"/>
        </w:rPr>
        <w:t>4</w:t>
      </w:r>
      <w:r>
        <w:rPr>
          <w:rFonts w:ascii="黑体;方正黑体_GBK" w:hAnsi="黑体;方正黑体_GBK" w:eastAsia="黑体;方正黑体_GBK"/>
          <w:sz w:val="18"/>
          <w:szCs w:val="18"/>
        </w:rPr>
        <w:t>、经法定家居定制商品质量检验机构检验，定制商品的有害物质限量不符合国家标准的强制性要求的，乙方有权无条件退货，并要求甲方赔偿相应的检测费、交通费、误工费、损失费等损失，并承担总价款</w:t>
      </w:r>
      <w:r>
        <w:rPr>
          <w:rFonts w:ascii="黑体;方正黑体_GBK" w:hAnsi="黑体;方正黑体_GBK" w:eastAsia="黑体;方正黑体_GBK"/>
          <w:sz w:val="18"/>
          <w:szCs w:val="18"/>
          <w:u w:val="single"/>
        </w:rPr>
        <w:t xml:space="preserve">    </w:t>
      </w:r>
      <w:r>
        <w:rPr>
          <w:rFonts w:eastAsia="黑体;方正黑体_GBK" w:ascii="黑体;方正黑体_GBK" w:hAnsi="黑体;方正黑体_GBK"/>
          <w:sz w:val="18"/>
          <w:szCs w:val="18"/>
        </w:rPr>
        <w:t>%</w:t>
      </w:r>
      <w:r>
        <w:rPr>
          <w:rFonts w:ascii="黑体;方正黑体_GBK" w:hAnsi="黑体;方正黑体_GBK" w:eastAsia="黑体;方正黑体_GBK"/>
          <w:sz w:val="18"/>
          <w:szCs w:val="18"/>
        </w:rPr>
        <w:t>的违约金。</w:t>
      </w:r>
    </w:p>
    <w:p>
      <w:pPr>
        <w:pStyle w:val="Normal"/>
        <w:spacing w:lineRule="exact" w:line="300"/>
        <w:ind w:firstLine="360" w:end="0"/>
        <w:rPr>
          <w:rFonts w:ascii="黑体;方正黑体_GBK" w:hAnsi="黑体;方正黑体_GBK" w:eastAsia="黑体;方正黑体_GBK" w:cs="宋体;方正书宋_GBK"/>
          <w:sz w:val="18"/>
          <w:szCs w:val="18"/>
        </w:rPr>
      </w:pPr>
      <w:r>
        <w:rPr>
          <w:rFonts w:ascii="黑体;方正黑体_GBK" w:hAnsi="黑体;方正黑体_GBK" w:cs="黑体;方正黑体_GBK" w:eastAsia="黑体;方正黑体_GBK"/>
          <w:b/>
          <w:bCs/>
          <w:sz w:val="18"/>
          <w:szCs w:val="18"/>
        </w:rPr>
        <w:t>第七条 其他约定：</w:t>
      </w:r>
      <w:r>
        <w:rPr>
          <w:rFonts w:ascii="黑体;方正黑体_GBK" w:hAnsi="黑体;方正黑体_GBK" w:cs="宋体;方正书宋_GBK" w:eastAsia="黑体;方正黑体_GBK"/>
          <w:sz w:val="18"/>
          <w:szCs w:val="18"/>
          <w:u w:val="single"/>
        </w:rPr>
        <w:t xml:space="preserve"> {其他约定内容} 。</w:t>
      </w:r>
      <w:r>
        <w:rPr>
          <w:rFonts w:ascii="黑体;方正黑体_GBK" w:hAnsi="黑体;方正黑体_GBK" w:cs="宋体;方正书宋_GBK" w:eastAsia="黑体;方正黑体_GBK"/>
          <w:sz w:val="18"/>
          <w:szCs w:val="18"/>
        </w:rPr>
      </w:r>
    </w:p>
    <w:p>
      <w:pPr>
        <w:pStyle w:val="Normal"/>
        <w:spacing w:lineRule="exact" w:line="300"/>
        <w:ind w:firstLine="360" w:end="0"/>
        <w:rPr>
          <w:rFonts w:ascii="黑体;方正黑体_GBK" w:hAnsi="黑体;方正黑体_GBK" w:eastAsia="黑体;方正黑体_GBK" w:cs="黑体;方正黑体_GBK"/>
          <w:sz w:val="18"/>
          <w:szCs w:val="18"/>
        </w:rPr>
      </w:pPr>
      <w:r>
        <w:rPr>
          <w:rFonts w:ascii="黑体;方正黑体_GBK" w:hAnsi="黑体;方正黑体_GBK" w:cs="黑体;方正黑体_GBK" w:eastAsia="黑体;方正黑体_GBK"/>
          <w:b/>
          <w:bCs/>
          <w:sz w:val="18"/>
          <w:szCs w:val="18"/>
        </w:rPr>
        <w:t>第八条 争议解决方式：</w:t>
      </w:r>
      <w:r>
        <w:rPr>
          <w:rFonts w:ascii="黑体;方正黑体_GBK" w:hAnsi="黑体;方正黑体_GBK" w:cs="黑体;方正黑体_GBK" w:eastAsia="黑体;方正黑体_GBK"/>
          <w:sz w:val="18"/>
          <w:szCs w:val="18"/>
        </w:rPr>
        <w:t xml:space="preserve"> </w:t>
      </w:r>
      <w:r>
        <w:rPr>
          <w:rFonts w:ascii="黑体;方正黑体_GBK" w:hAnsi="黑体;方正黑体_GBK" w:cs="宋体;方正书宋_GBK" w:eastAsia="黑体;方正黑体_GBK"/>
          <w:sz w:val="18"/>
          <w:szCs w:val="18"/>
        </w:rPr>
        <w:t>本合同项下发生的争议，双方应协商解决，或向市场主办单位、行业协会或消费者协会申请调解。协商或调解不成的，选择以下第</w:t>
      </w:r>
      <w:r>
        <w:rPr>
          <w:rFonts w:ascii="黑体;方正黑体_GBK" w:hAnsi="黑体;方正黑体_GBK" w:cs="宋体;方正书宋_GBK" w:eastAsia="黑体;方正黑体_GBK"/>
          <w:sz w:val="18"/>
          <w:szCs w:val="18"/>
          <w:u w:val="single"/>
        </w:rPr>
        <w:t xml:space="preserve"> {争议解</w:t>
      </w:r>
      <w:r>
        <w:rPr>
          <w:rFonts w:ascii="黑体;方正黑体_GBK" w:hAnsi="黑体;方正黑体_GBK" w:cs="宋体;方正书宋_GBK" w:eastAsia="黑体;方正黑体_GBK"/>
          <w:sz w:val="18"/>
          <w:szCs w:val="18"/>
        </w:rPr>
        <w:t>决方式编号}</w:t>
      </w:r>
      <w:r>
        <w:rPr>
          <w:rFonts w:eastAsia="黑体;方正黑体_GBK" w:cs="宋体;方正书宋_GBK" w:ascii="黑体;方正黑体_GBK" w:hAnsi="黑体;方正黑体_GBK"/>
          <w:sz w:val="18"/>
          <w:szCs w:val="18"/>
        </w:rPr>
        <w:t xml:space="preserve"> 种</w:t>
      </w:r>
      <w:r>
        <w:rPr>
          <w:rFonts w:ascii="黑体;方正黑体_GBK" w:hAnsi="黑体;方正黑体_GBK" w:cs="宋体;方正书宋_GBK" w:eastAsia="黑体;方正黑体_GBK"/>
          <w:sz w:val="18"/>
          <w:szCs w:val="18"/>
        </w:rPr>
        <w:t>方</w:t>
      </w:r>
      <w:r>
        <w:rPr>
          <w:rFonts w:ascii="黑体;方正黑体_GBK" w:hAnsi="黑体;方正黑体_GBK" w:cs="宋体;方正书宋_GBK" w:eastAsia="黑体;方正黑体_GBK"/>
          <w:sz w:val="18"/>
          <w:szCs w:val="18"/>
          <w:u w:val="single"/>
        </w:rPr>
        <w:t>式解决：1.向 {法</w:t>
      </w:r>
      <w:r>
        <w:rPr>
          <w:rFonts w:ascii="黑体;方正黑体_GBK" w:hAnsi="黑体;方正黑体_GBK" w:cs="宋体;方正书宋_GBK" w:eastAsia="黑体;方正黑体_GBK"/>
          <w:sz w:val="18"/>
          <w:szCs w:val="18"/>
        </w:rPr>
        <w:t>院名称} 人民法院</w:t>
      </w:r>
      <w:r>
        <w:rPr>
          <w:rFonts w:eastAsia="黑体;方正黑体_GBK" w:cs="宋体;方正书宋_GBK" w:ascii="黑体;方正黑体_GBK" w:hAnsi="黑体;方正黑体_GBK"/>
          <w:sz w:val="18"/>
          <w:szCs w:val="18"/>
        </w:rPr>
        <w:t>提起</w:t>
      </w:r>
      <w:r>
        <w:rPr>
          <w:rFonts w:ascii="黑体;方正黑体_GBK" w:hAnsi="黑体;方正黑体_GBK" w:cs="宋体;方正书宋_GBK" w:eastAsia="黑体;方正黑体_GBK"/>
          <w:sz w:val="18"/>
          <w:szCs w:val="18"/>
        </w:rPr>
        <w:t>诉</w:t>
      </w:r>
      <w:r>
        <w:rPr>
          <w:rFonts w:ascii="黑体;方正黑体_GBK" w:hAnsi="黑体;方正黑体_GBK" w:cs="宋体;方正书宋_GBK" w:eastAsia="黑体;方正黑体_GBK"/>
          <w:sz w:val="18"/>
          <w:szCs w:val="18"/>
          <w:u w:val="single"/>
        </w:rPr>
        <w:t>讼。2.向 {仲裁委员会</w:t>
      </w:r>
      <w:r>
        <w:rPr>
          <w:rFonts w:ascii="黑体;方正黑体_GBK" w:hAnsi="黑体;方正黑体_GBK" w:cs="宋体;方正书宋_GBK" w:eastAsia="黑体;方正黑体_GBK"/>
          <w:sz w:val="18"/>
          <w:szCs w:val="18"/>
        </w:rPr>
        <w:t>名称} 仲裁委员会提请仲裁。</w:t>
      </w:r>
    </w:p>
    <w:p>
      <w:pPr>
        <w:pStyle w:val="BodyTextIndent"/>
        <w:tabs>
          <w:tab w:val="clear" w:pos="420"/>
          <w:tab w:val="left" w:pos="910" w:leader="none"/>
        </w:tabs>
        <w:snapToGrid w:val="false"/>
        <w:spacing w:lineRule="exact" w:line="300"/>
        <w:ind w:firstLine="360" w:end="0"/>
        <w:rPr>
          <w:rFonts w:ascii="黑体;方正黑体_GBK" w:hAnsi="黑体;方正黑体_GBK" w:eastAsia="黑体;方正黑体_GBK" w:cs="宋体;方正书宋_GBK"/>
          <w:b w:val="false"/>
          <w:sz w:val="18"/>
          <w:szCs w:val="18"/>
        </w:rPr>
      </w:pPr>
      <w:r>
        <w:rPr>
          <w:rFonts w:ascii="黑体;方正黑体_GBK" w:hAnsi="黑体;方正黑体_GBK" w:cs="黑体;方正黑体_GBK" w:eastAsia="黑体;方正黑体_GBK"/>
          <w:bCs/>
          <w:sz w:val="18"/>
          <w:szCs w:val="18"/>
        </w:rPr>
        <w:t>第九条</w:t>
      </w:r>
      <w:r>
        <w:rPr>
          <w:rFonts w:ascii="黑体;方正黑体_GBK" w:hAnsi="黑体;方正黑体_GBK" w:cs="仿宋;方正仿宋_GBK" w:eastAsia="黑体;方正黑体_GBK"/>
          <w:b w:val="false"/>
          <w:sz w:val="18"/>
          <w:szCs w:val="18"/>
        </w:rPr>
        <w:t xml:space="preserve"> </w:t>
      </w:r>
      <w:r>
        <w:rPr>
          <w:rFonts w:ascii="黑体;方正黑体_GBK" w:hAnsi="黑体;方正黑体_GBK" w:cs="宋体;方正书宋_GBK" w:eastAsia="黑体;方正黑体_GBK"/>
          <w:b w:val="false"/>
          <w:sz w:val="18"/>
          <w:szCs w:val="18"/>
        </w:rPr>
        <w:t>本合同自双方{签字或盖章}之日起生</w:t>
      </w:r>
      <w:r>
        <w:rPr>
          <w:rFonts w:ascii="黑体;方正黑体_GBK" w:hAnsi="黑体;方正黑体_GBK" w:eastAsia="黑体;方正黑体_GBK"/>
          <w:sz w:val="18"/>
          <w:szCs w:val="18"/>
        </w:rPr>
        <w:t>效。本合同与合同附件具有同等法律效</w:t>
      </w:r>
      <w:r>
        <w:rPr>
          <w:rFonts w:ascii="黑体;方正黑体_GBK" w:hAnsi="黑体;方正黑体_GBK" w:cs="宋体;方正书宋_GBK" w:eastAsia="黑体;方正黑体_GBK"/>
          <w:b w:val="false"/>
          <w:sz w:val="18"/>
          <w:szCs w:val="18"/>
        </w:rPr>
        <w:t>力。本合同</w:t>
      </w:r>
      <w:r>
        <w:rPr>
          <w:rFonts w:ascii="黑体;方正黑体_GBK" w:hAnsi="黑体;方正黑体_GBK" w:cs="宋体;方正书宋_GBK" w:eastAsia="黑体;方正黑体_GBK"/>
          <w:b w:val="false"/>
          <w:sz w:val="18"/>
          <w:szCs w:val="18"/>
          <w:u w:val="single"/>
        </w:rPr>
        <w:t>一式</w:t>
      </w:r>
      <w:r>
        <w:rPr>
          <w:rFonts w:ascii="黑体;方正黑体_GBK" w:hAnsi="黑体;方正黑体_GBK" w:cs="宋体;方正书宋_GBK" w:eastAsia="黑体;方正黑体_GBK"/>
          <w:b w:val="false"/>
          <w:sz w:val="18"/>
          <w:szCs w:val="18"/>
        </w:rPr>
        <w:t>{数字}份（</w:t>
      </w:r>
      <w:r>
        <w:rPr>
          <w:rFonts w:ascii="黑体;方正黑体_GBK" w:hAnsi="黑体;方正黑体_GBK" w:cs="宋体;方正书宋_GBK" w:eastAsia="黑体;方正黑体_GBK"/>
          <w:b w:val="false"/>
          <w:sz w:val="18"/>
          <w:szCs w:val="18"/>
          <w:u w:val="single"/>
        </w:rPr>
        <w:t>定作</w:t>
      </w:r>
      <w:r>
        <w:rPr>
          <w:rFonts w:ascii="黑体;方正黑体_GBK" w:hAnsi="黑体;方正黑体_GBK" w:cs="宋体;方正书宋_GBK" w:eastAsia="黑体;方正黑体_GBK"/>
          <w:b w:val="false"/>
          <w:sz w:val="18"/>
          <w:szCs w:val="18"/>
        </w:rPr>
        <w:t>方</w:t>
      </w:r>
      <w:r>
        <w:rPr>
          <w:rFonts w:eastAsia="黑体;方正黑体_GBK" w:cs="宋体;方正书宋_GBK" w:ascii="黑体;方正黑体_GBK" w:hAnsi="黑体;方正黑体_GBK"/>
          <w:b w:val="false"/>
          <w:sz w:val="18"/>
          <w:szCs w:val="18"/>
        </w:rPr>
        <w:t>执</w:t>
      </w:r>
      <w:r>
        <w:rPr>
          <w:rFonts w:ascii="黑体;方正黑体_GBK" w:hAnsi="黑体;方正黑体_GBK" w:cs="宋体;方正书宋_GBK" w:eastAsia="黑体;方正黑体_GBK"/>
          <w:b w:val="false"/>
          <w:sz w:val="18"/>
          <w:szCs w:val="18"/>
        </w:rPr>
        <w:t>{数字}</w:t>
      </w:r>
      <w:r>
        <w:rPr>
          <w:rFonts w:ascii="黑体;方正黑体_GBK" w:hAnsi="黑体;方正黑体_GBK" w:cs="宋体;方正书宋_GBK" w:eastAsia="黑体;方正黑体_GBK"/>
          <w:b w:val="false"/>
          <w:sz w:val="18"/>
          <w:szCs w:val="18"/>
          <w:u w:val="single"/>
        </w:rPr>
        <w:t>份;</w:t>
      </w:r>
      <w:r>
        <w:rPr>
          <w:rFonts w:ascii="黑体;方正黑体_GBK" w:hAnsi="黑体;方正黑体_GBK" w:cs="宋体;方正书宋_GBK" w:eastAsia="黑体;方正黑体_GBK"/>
          <w:b w:val="false"/>
          <w:sz w:val="18"/>
          <w:szCs w:val="18"/>
        </w:rPr>
        <w:t>承</w:t>
      </w:r>
      <w:r>
        <w:rPr>
          <w:rFonts w:eastAsia="黑体;方正黑体_GBK" w:cs="宋体;方正书宋_GBK" w:ascii="黑体;方正黑体_GBK" w:hAnsi="黑体;方正黑体_GBK"/>
          <w:b w:val="false"/>
          <w:sz w:val="18"/>
          <w:szCs w:val="18"/>
        </w:rPr>
        <w:t>揽</w:t>
      </w:r>
      <w:r>
        <w:rPr>
          <w:rFonts w:ascii="黑体;方正黑体_GBK" w:hAnsi="黑体;方正黑体_GBK" w:cs="宋体;方正书宋_GBK" w:eastAsia="黑体;方正黑体_GBK"/>
          <w:b w:val="false"/>
          <w:sz w:val="18"/>
          <w:szCs w:val="18"/>
        </w:rPr>
        <w:t>方执{数字</w:t>
      </w:r>
      <w:r>
        <w:rPr>
          <w:rFonts w:ascii="黑体;方正黑体_GBK" w:hAnsi="黑体;方正黑体_GBK" w:cs="宋体;方正书宋_GBK" w:eastAsia="黑体;方正黑体_GBK"/>
          <w:b w:val="false"/>
          <w:sz w:val="18"/>
          <w:szCs w:val="18"/>
          <w:u w:val="single"/>
        </w:rPr>
        <w:t>}份</w:t>
      </w:r>
      <w:r>
        <w:rPr>
          <w:rFonts w:ascii="黑体;方正黑体_GBK" w:hAnsi="黑体;方正黑体_GBK" w:cs="宋体;方正书宋_GBK" w:eastAsia="黑体;方正黑体_GBK"/>
          <w:b w:val="false"/>
          <w:sz w:val="18"/>
          <w:szCs w:val="18"/>
        </w:rPr>
        <w:t>;主办单位执{数字}份），具有同等法律效力。</w:t>
      </w:r>
    </w:p>
    <w:p>
      <w:pPr>
        <w:pStyle w:val="BodyTextIndent"/>
        <w:tabs>
          <w:tab w:val="clear" w:pos="420"/>
          <w:tab w:val="left" w:pos="910" w:leader="none"/>
        </w:tabs>
        <w:snapToGrid w:val="false"/>
        <w:spacing w:lineRule="exact" w:line="300"/>
        <w:ind w:hanging="0" w:end="0"/>
        <w:jc w:val="center"/>
        <w:rPr>
          <w:rFonts w:ascii="黑体;方正黑体_GBK" w:hAnsi="黑体;方正黑体_GBK" w:eastAsia="黑体;方正黑体_GBK" w:cs="黑体;方正黑体_GBK"/>
          <w:bCs/>
          <w:sz w:val="18"/>
          <w:szCs w:val="18"/>
          <w:u w:val="dotted"/>
        </w:rPr>
      </w:pPr>
      <w:r>
        <w:rPr>
          <w:rFonts w:ascii="黑体;方正黑体_GBK" w:hAnsi="黑体;方正黑体_GBK" w:cs="黑体;方正黑体_GBK" w:eastAsia="黑体;方正黑体_GBK"/>
          <w:bCs/>
          <w:sz w:val="18"/>
          <w:szCs w:val="18"/>
          <w:u w:val="dotted"/>
        </w:rPr>
        <w:t>请认真阅读通用条款、风险提示及承揽方提供的其他书面材料，经确认无误后再签订本合同。</w:t>
      </w:r>
    </w:p>
    <w:tbl>
      <w:tblPr>
        <w:tblW w:w="10145" w:type="dxa"/>
        <w:jc w:val="start"/>
        <w:tblInd w:w="28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00"/>
        <w:gridCol w:w="4159"/>
        <w:gridCol w:w="3286"/>
      </w:tblGrid>
      <w:tr>
        <w:trPr>
          <w:trHeight w:val="253" w:hRule="atLeast"/>
        </w:trPr>
        <w:tc>
          <w:tcPr>
            <w:tcW w:w="2700" w:type="dxa"/>
            <w:tcBorders/>
          </w:tcPr>
          <w:p>
            <w:pPr>
              <w:pStyle w:val="Normal"/>
              <w:snapToGrid w:val="false"/>
              <w:spacing w:lineRule="exact" w:line="280"/>
              <w:rPr>
                <w:rFonts w:ascii="黑体;方正黑体_GBK" w:hAnsi="黑体;方正黑体_GBK" w:eastAsia="黑体;方正黑体_GBK" w:cs="黑体;方正黑体_GBK"/>
                <w:bCs/>
                <w:sz w:val="18"/>
                <w:szCs w:val="18"/>
              </w:rPr>
            </w:pPr>
            <w:r>
              <w:rPr>
                <w:rFonts w:ascii="黑体;方正黑体_GBK" w:hAnsi="黑体;方正黑体_GBK" w:cs="黑体;方正黑体_GBK" w:eastAsia="黑体;方正黑体_GBK"/>
                <w:bCs/>
                <w:sz w:val="18"/>
                <w:szCs w:val="18"/>
              </w:rPr>
              <w:t>定作方（定作方签章）：</w:t>
            </w:r>
          </w:p>
        </w:tc>
        <w:tc>
          <w:tcPr>
            <w:tcW w:w="4159" w:type="dxa"/>
            <w:tcBorders/>
          </w:tcPr>
          <w:p>
            <w:pPr>
              <w:pStyle w:val="Normal"/>
              <w:snapToGrid w:val="false"/>
              <w:spacing w:lineRule="exact" w:line="280"/>
              <w:rPr>
                <w:rFonts w:ascii="黑体;方正黑体_GBK" w:hAnsi="黑体;方正黑体_GBK" w:eastAsia="黑体;方正黑体_GBK" w:cs="黑体;方正黑体_GBK"/>
                <w:bCs/>
                <w:sz w:val="18"/>
                <w:szCs w:val="18"/>
              </w:rPr>
            </w:pPr>
            <w:r>
              <w:rPr>
                <w:rFonts w:ascii="黑体;方正黑体_GBK" w:hAnsi="黑体;方正黑体_GBK" w:cs="黑体;方正黑体_GBK" w:eastAsia="黑体;方正黑体_GBK"/>
                <w:bCs/>
                <w:sz w:val="18"/>
                <w:szCs w:val="18"/>
              </w:rPr>
              <w:t xml:space="preserve">       </w:t>
            </w:r>
            <w:r>
              <w:rPr>
                <w:rFonts w:ascii="黑体;方正黑体_GBK" w:hAnsi="黑体;方正黑体_GBK" w:cs="黑体;方正黑体_GBK" w:eastAsia="黑体;方正黑体_GBK"/>
                <w:bCs/>
                <w:sz w:val="18"/>
                <w:szCs w:val="18"/>
              </w:rPr>
              <w:t>承揽方（承揽方盖章）：</w:t>
            </w:r>
          </w:p>
        </w:tc>
        <w:tc>
          <w:tcPr>
            <w:tcW w:w="3286" w:type="dxa"/>
            <w:tcBorders/>
          </w:tcPr>
          <w:p>
            <w:pPr>
              <w:pStyle w:val="Normal"/>
              <w:snapToGrid w:val="false"/>
              <w:spacing w:lineRule="exact" w:line="280"/>
              <w:rPr>
                <w:rFonts w:ascii="黑体;方正黑体_GBK" w:hAnsi="黑体;方正黑体_GBK" w:eastAsia="黑体;方正黑体_GBK" w:cs="黑体;方正黑体_GBK"/>
                <w:bCs/>
                <w:sz w:val="18"/>
                <w:szCs w:val="18"/>
              </w:rPr>
            </w:pPr>
            <w:r>
              <w:rPr>
                <w:rFonts w:ascii="黑体;方正黑体_GBK" w:hAnsi="黑体;方正黑体_GBK" w:cs="黑体;方正黑体_GBK" w:eastAsia="黑体;方正黑体_GBK"/>
                <w:bCs/>
                <w:sz w:val="18"/>
                <w:szCs w:val="18"/>
              </w:rPr>
              <w:t>主办单位（盖章）：</w:t>
            </w:r>
          </w:p>
        </w:tc>
      </w:tr>
      <w:tr>
        <w:trPr>
          <w:trHeight w:val="253" w:hRule="atLeast"/>
        </w:trPr>
        <w:tc>
          <w:tcPr>
            <w:tcW w:w="2700" w:type="dxa"/>
            <w:tcBorders/>
          </w:tcPr>
          <w:p>
            <w:pPr>
              <w:pStyle w:val="Normal"/>
              <w:snapToGrid w:val="false"/>
              <w:spacing w:lineRule="exact" w:line="280"/>
              <w:rPr>
                <w:rFonts w:ascii="黑体;方正黑体_GBK" w:hAnsi="黑体;方正黑体_GBK" w:eastAsia="黑体;方正黑体_GBK" w:cs="黑体;方正黑体_GBK"/>
                <w:bCs/>
                <w:sz w:val="18"/>
                <w:szCs w:val="18"/>
              </w:rPr>
            </w:pPr>
            <w:r>
              <w:rPr>
                <w:rFonts w:eastAsia="黑体;方正黑体_GBK" w:cs="黑体;方正黑体_GBK" w:ascii="黑体;方正黑体_GBK" w:hAnsi="黑体;方正黑体_GBK"/>
                <w:bCs/>
                <w:sz w:val="18"/>
                <w:szCs w:val="18"/>
              </w:rPr>
            </w:r>
          </w:p>
          <w:p>
            <w:pPr>
              <w:pStyle w:val="Normal"/>
              <w:snapToGrid w:val="false"/>
              <w:spacing w:lineRule="exact" w:line="280"/>
              <w:rPr>
                <w:rFonts w:ascii="黑体;方正黑体_GBK" w:hAnsi="黑体;方正黑体_GBK" w:eastAsia="黑体;方正黑体_GBK" w:cs="黑体;方正黑体_GBK"/>
                <w:bCs/>
                <w:sz w:val="18"/>
                <w:szCs w:val="18"/>
              </w:rPr>
            </w:pPr>
            <w:r>
              <w:rPr>
                <w:rFonts w:ascii="黑体;方正黑体_GBK" w:hAnsi="黑体;方正黑体_GBK" w:cs="黑体;方正黑体_GBK" w:eastAsia="黑体;方正黑体_GBK"/>
                <w:bCs/>
                <w:sz w:val="18"/>
                <w:szCs w:val="18"/>
              </w:rPr>
              <w:t>联系电话：</w:t>
            </w:r>
          </w:p>
        </w:tc>
        <w:tc>
          <w:tcPr>
            <w:tcW w:w="4159" w:type="dxa"/>
            <w:tcBorders/>
          </w:tcPr>
          <w:p>
            <w:pPr>
              <w:pStyle w:val="Normal"/>
              <w:snapToGrid w:val="false"/>
              <w:spacing w:lineRule="exact" w:line="280"/>
              <w:rPr>
                <w:rFonts w:ascii="黑体;方正黑体_GBK" w:hAnsi="黑体;方正黑体_GBK" w:eastAsia="黑体;方正黑体_GBK" w:cs="黑体;方正黑体_GBK"/>
                <w:bCs/>
                <w:sz w:val="18"/>
                <w:szCs w:val="18"/>
              </w:rPr>
            </w:pPr>
            <w:r>
              <w:rPr>
                <w:rFonts w:eastAsia="黑体;方正黑体_GBK" w:cs="黑体;方正黑体_GBK" w:ascii="黑体;方正黑体_GBK" w:hAnsi="黑体;方正黑体_GBK"/>
                <w:bCs/>
                <w:sz w:val="18"/>
                <w:szCs w:val="18"/>
              </w:rPr>
            </w:r>
          </w:p>
          <w:p>
            <w:pPr>
              <w:pStyle w:val="Normal"/>
              <w:snapToGrid w:val="false"/>
              <w:spacing w:lineRule="exact" w:line="280"/>
              <w:rPr>
                <w:rFonts w:ascii="黑体;方正黑体_GBK" w:hAnsi="黑体;方正黑体_GBK" w:eastAsia="黑体;方正黑体_GBK" w:cs="黑体;方正黑体_GBK"/>
                <w:bCs/>
                <w:sz w:val="18"/>
                <w:szCs w:val="18"/>
              </w:rPr>
            </w:pPr>
            <w:r>
              <w:rPr>
                <w:rFonts w:ascii="黑体;方正黑体_GBK" w:hAnsi="黑体;方正黑体_GBK" w:cs="黑体;方正黑体_GBK" w:eastAsia="黑体;方正黑体_GBK"/>
                <w:bCs/>
                <w:sz w:val="18"/>
                <w:szCs w:val="18"/>
              </w:rPr>
              <w:t xml:space="preserve">       </w:t>
            </w:r>
            <w:r>
              <w:rPr>
                <w:rFonts w:ascii="黑体;方正黑体_GBK" w:hAnsi="黑体;方正黑体_GBK" w:cs="黑体;方正黑体_GBK" w:eastAsia="黑体;方正黑体_GBK"/>
                <w:bCs/>
                <w:sz w:val="18"/>
                <w:szCs w:val="18"/>
              </w:rPr>
              <w:t>统一社会信用代码（营业执照号）</w:t>
            </w:r>
            <w:r>
              <w:rPr>
                <w:rFonts w:eastAsia="黑体;方正黑体_GBK" w:cs="黑体;方正黑体_GBK" w:ascii="黑体;方正黑体_GBK" w:hAnsi="黑体;方正黑体_GBK"/>
                <w:bCs/>
                <w:sz w:val="18"/>
                <w:szCs w:val="18"/>
              </w:rPr>
              <w:t>:</w:t>
            </w:r>
          </w:p>
        </w:tc>
        <w:tc>
          <w:tcPr>
            <w:tcW w:w="3286" w:type="dxa"/>
            <w:tcBorders/>
          </w:tcPr>
          <w:p>
            <w:pPr>
              <w:pStyle w:val="Normal"/>
              <w:snapToGrid w:val="false"/>
              <w:spacing w:lineRule="exact" w:line="280"/>
              <w:rPr>
                <w:rFonts w:ascii="黑体;方正黑体_GBK" w:hAnsi="黑体;方正黑体_GBK" w:eastAsia="黑体;方正黑体_GBK" w:cs="黑体;方正黑体_GBK"/>
                <w:bCs/>
                <w:sz w:val="18"/>
                <w:szCs w:val="18"/>
              </w:rPr>
            </w:pPr>
            <w:r>
              <w:rPr>
                <w:rFonts w:eastAsia="黑体;方正黑体_GBK" w:cs="黑体;方正黑体_GBK" w:ascii="黑体;方正黑体_GBK" w:hAnsi="黑体;方正黑体_GBK"/>
                <w:bCs/>
                <w:sz w:val="18"/>
                <w:szCs w:val="18"/>
              </w:rPr>
            </w:r>
          </w:p>
        </w:tc>
      </w:tr>
      <w:tr>
        <w:trPr>
          <w:trHeight w:val="253" w:hRule="atLeast"/>
        </w:trPr>
        <w:tc>
          <w:tcPr>
            <w:tcW w:w="2700" w:type="dxa"/>
            <w:tcBorders/>
          </w:tcPr>
          <w:p>
            <w:pPr>
              <w:pStyle w:val="Normal"/>
              <w:snapToGrid w:val="false"/>
              <w:spacing w:lineRule="exact" w:line="280"/>
              <w:rPr>
                <w:rFonts w:ascii="黑体;方正黑体_GBK" w:hAnsi="黑体;方正黑体_GBK" w:eastAsia="黑体;方正黑体_GBK" w:cs="黑体;方正黑体_GBK"/>
                <w:bCs/>
                <w:sz w:val="18"/>
                <w:szCs w:val="18"/>
              </w:rPr>
            </w:pPr>
            <w:r>
              <w:rPr>
                <w:rFonts w:eastAsia="黑体;方正黑体_GBK" w:cs="黑体;方正黑体_GBK" w:ascii="黑体;方正黑体_GBK" w:hAnsi="黑体;方正黑体_GBK"/>
                <w:bCs/>
                <w:sz w:val="18"/>
                <w:szCs w:val="18"/>
              </w:rPr>
            </w:r>
          </w:p>
        </w:tc>
        <w:tc>
          <w:tcPr>
            <w:tcW w:w="4159" w:type="dxa"/>
            <w:tcBorders/>
          </w:tcPr>
          <w:p>
            <w:pPr>
              <w:pStyle w:val="Normal"/>
              <w:snapToGrid w:val="false"/>
              <w:spacing w:lineRule="exact" w:line="280"/>
              <w:rPr>
                <w:rFonts w:ascii="黑体;方正黑体_GBK" w:hAnsi="黑体;方正黑体_GBK" w:eastAsia="黑体;方正黑体_GBK" w:cs="黑体;方正黑体_GBK"/>
                <w:bCs/>
                <w:sz w:val="18"/>
                <w:szCs w:val="18"/>
              </w:rPr>
            </w:pPr>
            <w:r>
              <w:rPr>
                <w:rFonts w:ascii="黑体;方正黑体_GBK" w:hAnsi="黑体;方正黑体_GBK" w:cs="黑体;方正黑体_GBK" w:eastAsia="黑体;方正黑体_GBK"/>
                <w:bCs/>
                <w:sz w:val="18"/>
                <w:szCs w:val="18"/>
              </w:rPr>
              <w:t xml:space="preserve">       </w:t>
            </w:r>
            <w:r>
              <w:rPr>
                <w:rFonts w:ascii="黑体;方正黑体_GBK" w:hAnsi="黑体;方正黑体_GBK" w:cs="黑体;方正黑体_GBK" w:eastAsia="黑体;方正黑体_GBK"/>
                <w:bCs/>
                <w:sz w:val="18"/>
                <w:szCs w:val="18"/>
              </w:rPr>
              <w:t>经办人（签字）：</w:t>
            </w:r>
          </w:p>
        </w:tc>
        <w:tc>
          <w:tcPr>
            <w:tcW w:w="3286" w:type="dxa"/>
            <w:tcBorders/>
          </w:tcPr>
          <w:p>
            <w:pPr>
              <w:pStyle w:val="Normal"/>
              <w:snapToGrid w:val="false"/>
              <w:spacing w:lineRule="exact" w:line="280"/>
              <w:rPr>
                <w:rFonts w:ascii="黑体;方正黑体_GBK" w:hAnsi="黑体;方正黑体_GBK" w:eastAsia="黑体;方正黑体_GBK" w:cs="黑体;方正黑体_GBK"/>
                <w:bCs/>
                <w:sz w:val="18"/>
                <w:szCs w:val="18"/>
              </w:rPr>
            </w:pPr>
            <w:r>
              <w:rPr>
                <w:rFonts w:eastAsia="黑体;方正黑体_GBK" w:cs="黑体;方正黑体_GBK" w:ascii="黑体;方正黑体_GBK" w:hAnsi="黑体;方正黑体_GBK"/>
                <w:bCs/>
                <w:sz w:val="18"/>
                <w:szCs w:val="18"/>
              </w:rPr>
            </w:r>
          </w:p>
        </w:tc>
      </w:tr>
      <w:tr>
        <w:trPr>
          <w:trHeight w:val="253" w:hRule="atLeast"/>
        </w:trPr>
        <w:tc>
          <w:tcPr>
            <w:tcW w:w="2700" w:type="dxa"/>
            <w:tcBorders/>
          </w:tcPr>
          <w:p>
            <w:pPr>
              <w:pStyle w:val="Normal"/>
              <w:snapToGrid w:val="false"/>
              <w:spacing w:lineRule="exact" w:line="280"/>
              <w:rPr>
                <w:rFonts w:ascii="黑体;方正黑体_GBK" w:hAnsi="黑体;方正黑体_GBK" w:eastAsia="黑体;方正黑体_GBK" w:cs="黑体;方正黑体_GBK"/>
                <w:bCs/>
                <w:sz w:val="18"/>
                <w:szCs w:val="18"/>
              </w:rPr>
            </w:pPr>
            <w:r>
              <w:rPr>
                <w:rFonts w:ascii="黑体;方正黑体_GBK" w:hAnsi="黑体;方正黑体_GBK" w:cs="黑体;方正黑体_GBK" w:eastAsia="黑体;方正黑体_GBK"/>
                <w:bCs/>
                <w:sz w:val="18"/>
                <w:szCs w:val="18"/>
              </w:rPr>
              <w:t>联系地址：</w:t>
            </w:r>
          </w:p>
        </w:tc>
        <w:tc>
          <w:tcPr>
            <w:tcW w:w="4159" w:type="dxa"/>
            <w:tcBorders/>
          </w:tcPr>
          <w:p>
            <w:pPr>
              <w:pStyle w:val="Normal"/>
              <w:snapToGrid w:val="false"/>
              <w:spacing w:lineRule="exact" w:line="280"/>
              <w:rPr>
                <w:rFonts w:ascii="黑体;方正黑体_GBK" w:hAnsi="黑体;方正黑体_GBK" w:eastAsia="黑体;方正黑体_GBK" w:cs="黑体;方正黑体_GBK"/>
                <w:bCs/>
                <w:sz w:val="18"/>
                <w:szCs w:val="18"/>
              </w:rPr>
            </w:pPr>
            <w:r>
              <w:rPr>
                <w:rFonts w:ascii="黑体;方正黑体_GBK" w:hAnsi="黑体;方正黑体_GBK" w:cs="黑体;方正黑体_GBK" w:eastAsia="黑体;方正黑体_GBK"/>
                <w:bCs/>
                <w:sz w:val="18"/>
                <w:szCs w:val="18"/>
              </w:rPr>
              <w:t xml:space="preserve">       </w:t>
            </w:r>
            <w:r>
              <w:rPr>
                <w:rFonts w:ascii="黑体;方正黑体_GBK" w:hAnsi="黑体;方正黑体_GBK" w:cs="黑体;方正黑体_GBK" w:eastAsia="黑体;方正黑体_GBK"/>
                <w:bCs/>
                <w:sz w:val="18"/>
                <w:szCs w:val="18"/>
              </w:rPr>
              <w:t>住所：</w:t>
            </w:r>
          </w:p>
        </w:tc>
        <w:tc>
          <w:tcPr>
            <w:tcW w:w="3286" w:type="dxa"/>
            <w:tcBorders/>
          </w:tcPr>
          <w:p>
            <w:pPr>
              <w:pStyle w:val="Normal"/>
              <w:snapToGrid w:val="false"/>
              <w:spacing w:lineRule="exact" w:line="280"/>
              <w:rPr>
                <w:rFonts w:ascii="黑体;方正黑体_GBK" w:hAnsi="黑体;方正黑体_GBK" w:eastAsia="黑体;方正黑体_GBK" w:cs="黑体;方正黑体_GBK"/>
                <w:bCs/>
                <w:sz w:val="18"/>
                <w:szCs w:val="18"/>
              </w:rPr>
            </w:pPr>
            <w:r>
              <w:rPr>
                <w:rFonts w:ascii="黑体;方正黑体_GBK" w:hAnsi="黑体;方正黑体_GBK" w:cs="黑体;方正黑体_GBK" w:eastAsia="黑体;方正黑体_GBK"/>
                <w:bCs/>
                <w:sz w:val="18"/>
                <w:szCs w:val="18"/>
              </w:rPr>
              <w:t>服务电话：</w:t>
            </w:r>
          </w:p>
        </w:tc>
      </w:tr>
      <w:tr>
        <w:trPr>
          <w:trHeight w:val="230" w:hRule="atLeast"/>
        </w:trPr>
        <w:tc>
          <w:tcPr>
            <w:tcW w:w="2700" w:type="dxa"/>
            <w:tcBorders/>
          </w:tcPr>
          <w:p>
            <w:pPr>
              <w:pStyle w:val="Normal"/>
              <w:snapToGrid w:val="false"/>
              <w:spacing w:lineRule="exact" w:line="280"/>
              <w:rPr>
                <w:rFonts w:ascii="黑体;方正黑体_GBK" w:hAnsi="黑体;方正黑体_GBK" w:eastAsia="黑体;方正黑体_GBK" w:cs="黑体;方正黑体_GBK"/>
                <w:bCs/>
                <w:sz w:val="18"/>
                <w:szCs w:val="18"/>
              </w:rPr>
            </w:pPr>
            <w:r>
              <w:rPr>
                <w:rFonts w:eastAsia="黑体;方正黑体_GBK" w:cs="黑体;方正黑体_GBK" w:ascii="黑体;方正黑体_GBK" w:hAnsi="黑体;方正黑体_GBK"/>
                <w:bCs/>
                <w:sz w:val="18"/>
                <w:szCs w:val="18"/>
              </w:rPr>
            </w:r>
          </w:p>
        </w:tc>
        <w:tc>
          <w:tcPr>
            <w:tcW w:w="4159" w:type="dxa"/>
            <w:tcBorders/>
          </w:tcPr>
          <w:p>
            <w:pPr>
              <w:pStyle w:val="Normal"/>
              <w:snapToGrid w:val="false"/>
              <w:spacing w:lineRule="exact" w:line="280"/>
              <w:rPr>
                <w:rFonts w:ascii="黑体;方正黑体_GBK" w:hAnsi="黑体;方正黑体_GBK" w:eastAsia="黑体;方正黑体_GBK" w:cs="黑体;方正黑体_GBK"/>
                <w:bCs/>
                <w:sz w:val="18"/>
                <w:szCs w:val="18"/>
              </w:rPr>
            </w:pPr>
            <w:r>
              <w:rPr>
                <w:rFonts w:ascii="黑体;方正黑体_GBK" w:hAnsi="黑体;方正黑体_GBK" w:cs="黑体;方正黑体_GBK" w:eastAsia="黑体;方正黑体_GBK"/>
                <w:bCs/>
                <w:sz w:val="18"/>
                <w:szCs w:val="18"/>
              </w:rPr>
              <w:t xml:space="preserve">       </w:t>
            </w:r>
            <w:r>
              <w:rPr>
                <w:rFonts w:ascii="黑体;方正黑体_GBK" w:hAnsi="黑体;方正黑体_GBK" w:cs="黑体;方正黑体_GBK" w:eastAsia="黑体;方正黑体_GBK"/>
                <w:bCs/>
                <w:sz w:val="18"/>
                <w:szCs w:val="18"/>
              </w:rPr>
              <w:t>服务电话：</w:t>
            </w:r>
          </w:p>
        </w:tc>
        <w:tc>
          <w:tcPr>
            <w:tcW w:w="3286" w:type="dxa"/>
            <w:tcBorders/>
          </w:tcPr>
          <w:p>
            <w:pPr>
              <w:pStyle w:val="Normal"/>
              <w:snapToGrid w:val="false"/>
              <w:spacing w:lineRule="exact" w:line="280"/>
              <w:rPr>
                <w:rFonts w:ascii="黑体;方正黑体_GBK" w:hAnsi="黑体;方正黑体_GBK" w:eastAsia="黑体;方正黑体_GBK" w:cs="黑体;方正黑体_GBK"/>
                <w:bCs/>
                <w:sz w:val="18"/>
                <w:szCs w:val="18"/>
              </w:rPr>
            </w:pPr>
            <w:r>
              <w:rPr>
                <w:rFonts w:eastAsia="黑体;方正黑体_GBK" w:cs="黑体;方正黑体_GBK" w:ascii="黑体;方正黑体_GBK" w:hAnsi="黑体;方正黑体_GBK"/>
                <w:bCs/>
                <w:sz w:val="18"/>
                <w:szCs w:val="18"/>
              </w:rPr>
            </w:r>
          </w:p>
        </w:tc>
      </w:tr>
    </w:tbl>
    <w:p>
      <w:pPr>
        <w:pStyle w:val="BodyTextIndent"/>
        <w:tabs>
          <w:tab w:val="clear" w:pos="420"/>
          <w:tab w:val="left" w:pos="910" w:leader="none"/>
        </w:tabs>
        <w:spacing w:lineRule="exact" w:line="280"/>
        <w:ind w:hanging="0" w:end="0"/>
        <w:jc w:val="end"/>
        <w:rPr>
          <w:rFonts w:ascii="黑体;方正黑体_GBK" w:hAnsi="黑体;方正黑体_GBK" w:eastAsia="黑体;方正黑体_GBK" w:cs="黑体;方正黑体_GBK"/>
          <w:b w:val="false"/>
          <w:sz w:val="18"/>
          <w:szCs w:val="18"/>
        </w:rPr>
      </w:pPr>
      <w:r>
        <w:rPr>
          <w:rFonts w:ascii="黑体;方正黑体_GBK" w:hAnsi="黑体;方正黑体_GBK" w:cs="黑体;方正黑体_GBK" w:eastAsia="黑体;方正黑体_GBK"/>
          <w:b w:val="false"/>
          <w:sz w:val="18"/>
          <w:szCs w:val="18"/>
        </w:rPr>
        <w:t>{签订时间}</w:t>
      </w:r>
    </w:p>
    <w:p>
      <w:pPr>
        <w:pStyle w:val="BodyTextIndent"/>
        <w:tabs>
          <w:tab w:val="clear" w:pos="420"/>
          <w:tab w:val="left" w:pos="910" w:leader="none"/>
        </w:tabs>
        <w:spacing w:lineRule="auto" w:line="480"/>
        <w:ind w:firstLine="4500" w:end="0"/>
        <w:rPr>
          <w:rFonts w:ascii="黑体;方正黑体_GBK" w:hAnsi="黑体;方正黑体_GBK" w:eastAsia="黑体;方正黑体_GBK" w:cs="黑体;方正黑体_GBK"/>
          <w:sz w:val="30"/>
          <w:szCs w:val="30"/>
        </w:rPr>
      </w:pPr>
      <w:r>
        <w:rPr>
          <w:rFonts w:ascii="黑体;方正黑体_GBK" w:hAnsi="黑体;方正黑体_GBK" w:cs="黑体;方正黑体_GBK" w:eastAsia="黑体;方正黑体_GBK"/>
          <w:sz w:val="30"/>
          <w:szCs w:val="30"/>
        </w:rPr>
        <w:t>通用条款</w:t>
      </w:r>
    </w:p>
    <w:p>
      <w:pPr>
        <w:pStyle w:val="Normal"/>
        <w:numPr>
          <w:ilvl w:val="0"/>
          <w:numId w:val="0"/>
        </w:numPr>
        <w:spacing w:lineRule="exact" w:line="320"/>
        <w:outlineLvl w:val="0"/>
        <w:rPr>
          <w:rFonts w:ascii="黑体;方正黑体_GBK" w:hAnsi="黑体;方正黑体_GBK" w:eastAsia="黑体;方正黑体_GBK" w:cs="黑体;方正黑体_GBK"/>
          <w:b/>
          <w:bCs/>
          <w:sz w:val="18"/>
          <w:szCs w:val="18"/>
        </w:rPr>
      </w:pPr>
      <w:r>
        <w:rPr>
          <w:rFonts w:ascii="黑体;方正黑体_GBK" w:hAnsi="黑体;方正黑体_GBK" w:cs="黑体;方正黑体_GBK" w:eastAsia="黑体;方正黑体_GBK"/>
          <w:sz w:val="18"/>
          <w:szCs w:val="18"/>
        </w:rPr>
        <w:t>一、{测</w:t>
      </w:r>
      <w:r>
        <w:rPr>
          <w:rFonts w:ascii="黑体;方正黑体_GBK" w:hAnsi="黑体;方正黑体_GBK" w:cs="黑体;方正黑体_GBK" w:eastAsia="黑体;方正黑体_GBK"/>
          <w:b/>
          <w:bCs/>
          <w:sz w:val="18"/>
          <w:szCs w:val="18"/>
        </w:rPr>
        <w:t>量</w:t>
      </w:r>
      <w:r>
        <w:rPr>
          <w:rFonts w:ascii="黑体;方正黑体_GBK" w:hAnsi="黑体;方正黑体_GBK" w:cs="黑体;方正黑体_GBK" w:eastAsia="黑体;方正黑体_GBK"/>
          <w:b/>
          <w:bCs/>
          <w:sz w:val="18"/>
          <w:szCs w:val="18"/>
        </w:rPr>
        <w:t>、</w:t>
      </w:r>
      <w:r>
        <w:rPr>
          <w:rFonts w:ascii="黑体;方正黑体_GBK" w:hAnsi="黑体;方正黑体_GBK" w:cs="黑体;方正黑体_GBK" w:eastAsia="黑体;方正黑体_GBK"/>
          <w:b/>
          <w:bCs/>
          <w:sz w:val="18"/>
          <w:szCs w:val="18"/>
        </w:rPr>
        <w:t>设计与</w:t>
      </w:r>
      <w:r>
        <w:rPr>
          <w:rFonts w:ascii="黑体;方正黑体_GBK" w:hAnsi="黑体;方正黑体_GBK" w:cs="黑体;方正黑体_GBK" w:eastAsia="黑体;方正黑体_GBK"/>
          <w:b/>
          <w:bCs/>
          <w:sz w:val="18"/>
          <w:szCs w:val="18"/>
        </w:rPr>
        <w:t>监督</w:t>
      </w:r>
      <w:r>
        <w:rPr>
          <w:rFonts w:ascii="黑体;方正黑体_GBK" w:hAnsi="黑体;方正黑体_GBK" w:cs="黑体;方正黑体_GBK" w:eastAsia="黑体;方正黑体_GBK"/>
          <w:b/>
          <w:bCs/>
          <w:sz w:val="18"/>
          <w:szCs w:val="18"/>
        </w:rPr>
        <w:t>}</w:t>
      </w:r>
    </w:p>
    <w:p>
      <w:pPr>
        <w:pStyle w:val="Normal"/>
        <w:spacing w:lineRule="exact" w:line="320"/>
        <w:ind w:firstLine="360" w:end="0"/>
        <w:rPr>
          <w:rFonts w:ascii="宋体;方正书宋_GBK" w:hAnsi="宋体;方正书宋_GBK" w:cs="宋体;方正书宋_GBK"/>
          <w:sz w:val="18"/>
          <w:szCs w:val="18"/>
        </w:rPr>
      </w:pPr>
      <w:r>
        <w:rPr>
          <w:rFonts w:cs="宋体;方正书宋_GBK" w:ascii="宋体;方正书宋_GBK" w:hAnsi="宋体;方正书宋_GBK"/>
          <w:sz w:val="18"/>
          <w:szCs w:val="18"/>
        </w:rPr>
        <w:t>1.</w:t>
      </w:r>
      <w:r>
        <w:rPr>
          <w:rFonts w:ascii="宋体;方正书宋_GBK" w:hAnsi="宋体;方正书宋_GBK" w:cs="宋体;方正书宋_GBK"/>
          <w:sz w:val="18"/>
          <w:szCs w:val="18"/>
        </w:rPr>
        <w:t>承揽方应安排专业人员进行实地测量，并按定作方要求制作符</w:t>
      </w:r>
      <w:r>
        <w:rPr>
          <w:rFonts w:ascii="宋体;方正书宋_GBK" w:hAnsi="宋体;方正书宋_GBK" w:cs="宋体;方正书宋_GBK"/>
          <w:sz w:val="18"/>
          <w:szCs w:val="18"/>
        </w:rPr>
        <w:t>合技术要求的</w:t>
      </w:r>
      <w:r>
        <w:rPr>
          <w:rFonts w:ascii="宋体;方正书宋_GBK" w:hAnsi="宋体;方正书宋_GBK" w:cs="宋体;方正书宋_GBK"/>
          <w:sz w:val="18"/>
          <w:szCs w:val="18"/>
        </w:rPr>
        <w:t>设计方案及图纸；定作方认为承揽方设计方案及图纸</w:t>
      </w:r>
      <w:r>
        <w:rPr>
          <w:rFonts w:ascii="宋体;方正书宋_GBK" w:hAnsi="宋体;方正书宋_GBK" w:cs="宋体;方正书宋_GBK"/>
          <w:sz w:val="18"/>
          <w:szCs w:val="18"/>
        </w:rPr>
        <w:t>不合理的，应及时通知承揽方。</w:t>
      </w:r>
      <w:r>
        <w:rPr>
          <w:rFonts w:ascii="宋体;方正书宋_GBK" w:hAnsi="宋体;方正书宋_GBK" w:cs="宋体;方正书宋_GBK"/>
          <w:sz w:val="18"/>
          <w:szCs w:val="18"/>
        </w:rPr>
        <w:t>承揽方接到通知后，应与定作方及时沟通，修改设计方案及图纸。</w:t>
      </w:r>
    </w:p>
    <w:p>
      <w:pPr>
        <w:pStyle w:val="Normal"/>
        <w:spacing w:lineRule="exact" w:line="320"/>
        <w:ind w:firstLine="360" w:end="0"/>
        <w:rPr>
          <w:rFonts w:ascii="宋体;方正书宋_GBK" w:hAnsi="宋体;方正书宋_GBK" w:cs="宋体;方正书宋_GBK"/>
          <w:sz w:val="18"/>
          <w:szCs w:val="18"/>
        </w:rPr>
      </w:pPr>
      <w:r>
        <w:rPr>
          <w:rFonts w:cs="宋体;方正书宋_GBK" w:ascii="宋体;方正书宋_GBK" w:hAnsi="宋体;方正书宋_GBK"/>
          <w:sz w:val="18"/>
          <w:szCs w:val="18"/>
        </w:rPr>
        <w:t>2.</w:t>
      </w:r>
      <w:r>
        <w:rPr>
          <w:rFonts w:ascii="宋体;方正书宋_GBK" w:hAnsi="宋体;方正书宋_GBK" w:cs="宋体;方正书宋_GBK"/>
          <w:sz w:val="18"/>
          <w:szCs w:val="18"/>
        </w:rPr>
        <w:t>定作方有权对定作商品使用材料的质量、数量等进行监督检验，但不得</w:t>
      </w:r>
      <w:r>
        <w:rPr>
          <w:rFonts w:ascii="宋体;方正书宋_GBK" w:hAnsi="宋体;方正书宋_GBK" w:cs="宋体;方正书宋_GBK"/>
          <w:sz w:val="18"/>
          <w:szCs w:val="18"/>
        </w:rPr>
        <w:t>妨碍</w:t>
      </w:r>
      <w:r>
        <w:rPr>
          <w:rFonts w:ascii="宋体;方正书宋_GBK" w:hAnsi="宋体;方正书宋_GBK" w:cs="宋体;方正书宋_GBK"/>
          <w:sz w:val="18"/>
          <w:szCs w:val="18"/>
        </w:rPr>
        <w:t>承揽方正常工作。</w:t>
      </w:r>
    </w:p>
    <w:p>
      <w:pPr>
        <w:pStyle w:val="Normal"/>
        <w:numPr>
          <w:ilvl w:val="0"/>
          <w:numId w:val="0"/>
        </w:numPr>
        <w:spacing w:lineRule="exact" w:line="320"/>
        <w:outlineLvl w:val="0"/>
        <w:rPr>
          <w:rFonts w:ascii="黑体;方正黑体_GBK" w:hAnsi="黑体;方正黑体_GBK" w:eastAsia="黑体;方正黑体_GBK" w:cs="黑体;方正黑体_GBK"/>
          <w:sz w:val="18"/>
          <w:szCs w:val="18"/>
        </w:rPr>
      </w:pPr>
      <w:r>
        <w:rPr>
          <w:rFonts w:ascii="黑体;方正黑体_GBK" w:hAnsi="黑体;方正黑体_GBK" w:cs="黑体;方正黑体_GBK" w:eastAsia="黑体;方正黑体_GBK"/>
          <w:sz w:val="18"/>
          <w:szCs w:val="18"/>
        </w:rPr>
        <w:t>二、安</w:t>
      </w:r>
      <w:r>
        <w:rPr>
          <w:rFonts w:ascii="黑体;方正黑体_GBK" w:hAnsi="黑体;方正黑体_GBK" w:cs="黑体;方正黑体_GBK" w:eastAsia="黑体;方正黑体_GBK"/>
          <w:b/>
          <w:bCs/>
          <w:sz w:val="18"/>
          <w:szCs w:val="18"/>
        </w:rPr>
        <w:t>装</w:t>
      </w:r>
      <w:r>
        <w:rPr>
          <w:rFonts w:ascii="黑体;方正黑体_GBK" w:hAnsi="黑体;方正黑体_GBK" w:cs="黑体;方正黑体_GBK" w:eastAsia="黑体;方正黑体_GBK"/>
          <w:b/>
          <w:bCs/>
          <w:sz w:val="18"/>
          <w:szCs w:val="18"/>
        </w:rPr>
        <w:t>与</w:t>
      </w:r>
      <w:r>
        <w:rPr>
          <w:rFonts w:ascii="黑体;方正黑体_GBK" w:hAnsi="黑体;方正黑体_GBK" w:cs="黑体;方正黑体_GBK" w:eastAsia="黑体;方正黑体_GBK"/>
          <w:b/>
          <w:bCs/>
          <w:sz w:val="18"/>
          <w:szCs w:val="18"/>
        </w:rPr>
        <w:t>验</w:t>
      </w:r>
      <w:r>
        <w:rPr>
          <w:rFonts w:ascii="黑体;方正黑体_GBK" w:hAnsi="黑体;方正黑体_GBK" w:cs="黑体;方正黑体_GBK" w:eastAsia="黑体;方正黑体_GBK"/>
          <w:b/>
          <w:bCs/>
          <w:sz w:val="18"/>
          <w:szCs w:val="18"/>
        </w:rPr>
        <w:t>收</w:t>
      </w:r>
      <w:r>
        <w:rPr>
          <w:rFonts w:ascii="黑体;方正黑体_GBK" w:hAnsi="黑体;方正黑体_GBK" w:cs="黑体;方正黑体_GBK" w:eastAsia="黑体;方正黑体_GBK"/>
          <w:b/>
          <w:bCs/>
          <w:sz w:val="18"/>
          <w:szCs w:val="18"/>
        </w:rPr>
      </w:r>
    </w:p>
    <w:p>
      <w:pPr>
        <w:pStyle w:val="Normal"/>
        <w:spacing w:lineRule="exact" w:line="320"/>
        <w:ind w:firstLine="360" w:end="0"/>
        <w:rPr>
          <w:rFonts w:ascii="宋体;方正书宋_GBK" w:hAnsi="宋体;方正书宋_GBK" w:cs="宋体;方正书宋_GBK"/>
          <w:sz w:val="18"/>
          <w:szCs w:val="18"/>
        </w:rPr>
      </w:pPr>
      <w:r>
        <w:rPr>
          <w:rFonts w:cs="宋体;方正书宋_GBK" w:ascii="宋体;方正书宋_GBK" w:hAnsi="宋体;方正书宋_GBK"/>
          <w:sz w:val="18"/>
          <w:szCs w:val="18"/>
        </w:rPr>
        <w:t>1.</w:t>
      </w:r>
      <w:r>
        <w:rPr>
          <w:rFonts w:ascii="宋体;方正书宋_GBK" w:hAnsi="宋体;方正书宋_GBK" w:cs="宋体;方正书宋_GBK"/>
          <w:sz w:val="18"/>
          <w:szCs w:val="18"/>
        </w:rPr>
        <w:t>定作方</w:t>
      </w:r>
      <w:r>
        <w:rPr>
          <w:rFonts w:ascii="宋体;方正书宋_GBK" w:hAnsi="宋体;方正书宋_GBK" w:cs="宋体;方正书宋_GBK"/>
          <w:sz w:val="18"/>
          <w:szCs w:val="18"/>
        </w:rPr>
        <w:t>应</w:t>
      </w:r>
      <w:r>
        <w:rPr>
          <w:rFonts w:ascii="宋体;方正书宋_GBK" w:hAnsi="宋体;方正书宋_GBK" w:cs="宋体;方正书宋_GBK"/>
          <w:sz w:val="18"/>
          <w:szCs w:val="18"/>
        </w:rPr>
        <w:t>在约</w:t>
      </w:r>
      <w:r>
        <w:rPr>
          <w:rFonts w:ascii="宋体;方正书宋_GBK" w:hAnsi="宋体;方正书宋_GBK" w:cs="宋体;方正书宋_GBK"/>
          <w:sz w:val="18"/>
          <w:szCs w:val="18"/>
        </w:rPr>
        <w:t>定安装</w:t>
      </w:r>
      <w:r>
        <w:rPr>
          <w:rFonts w:ascii="宋体;方正书宋_GBK" w:hAnsi="宋体;方正书宋_GBK" w:cs="宋体;方正书宋_GBK"/>
          <w:sz w:val="18"/>
          <w:szCs w:val="18"/>
        </w:rPr>
        <w:t>时间</w:t>
      </w:r>
      <w:r>
        <w:rPr>
          <w:rFonts w:ascii="宋体;方正书宋_GBK" w:hAnsi="宋体;方正书宋_GBK" w:cs="宋体;方正书宋_GBK"/>
          <w:sz w:val="18"/>
          <w:szCs w:val="18"/>
        </w:rPr>
        <w:t>前</w:t>
      </w:r>
      <w:r>
        <w:rPr>
          <w:rFonts w:ascii="宋体;方正书宋_GBK" w:hAnsi="宋体;方正书宋_GBK" w:cs="宋体;方正书宋_GBK"/>
          <w:sz w:val="18"/>
          <w:szCs w:val="18"/>
        </w:rPr>
        <w:t>为</w:t>
      </w:r>
      <w:r>
        <w:rPr>
          <w:rFonts w:ascii="宋体;方正书宋_GBK" w:hAnsi="宋体;方正书宋_GBK" w:cs="宋体;方正书宋_GBK"/>
          <w:sz w:val="18"/>
          <w:szCs w:val="18"/>
        </w:rPr>
        <w:t>承揽方入场安装提供所需的必要条件。</w:t>
      </w:r>
    </w:p>
    <w:p>
      <w:pPr>
        <w:pStyle w:val="Normal"/>
        <w:spacing w:lineRule="exact" w:line="320"/>
        <w:ind w:start="180" w:end="0"/>
        <w:rPr>
          <w:rFonts w:ascii="宋体;方正书宋_GBK" w:hAnsi="宋体;方正书宋_GBK" w:cs="宋体;方正书宋_GBK"/>
          <w:sz w:val="18"/>
          <w:szCs w:val="18"/>
        </w:rPr>
      </w:pPr>
      <w:r>
        <w:rPr>
          <w:rFonts w:ascii="宋体;方正书宋_GBK" w:hAnsi="宋体;方正书宋_GBK" w:cs="宋体;方正书宋_GBK" w:eastAsia="宋体;方正书宋_GBK"/>
          <w:sz w:val="18"/>
          <w:szCs w:val="18"/>
        </w:rPr>
        <w:t>2.</w:t>
      </w:r>
      <w:r>
        <w:rPr>
          <w:rFonts w:cs="宋体;方正书宋_GBK" w:ascii="宋体;方正书宋_GBK" w:hAnsi="宋体;方正书宋_GBK"/>
          <w:sz w:val="18"/>
          <w:szCs w:val="18"/>
        </w:rPr>
        <w:t xml:space="preserve"> 承</w:t>
      </w:r>
      <w:r>
        <w:rPr>
          <w:rFonts w:ascii="宋体;方正书宋_GBK" w:hAnsi="宋体;方正书宋_GBK" w:cs="宋体;方正书宋_GBK"/>
          <w:sz w:val="18"/>
          <w:szCs w:val="18"/>
        </w:rPr>
        <w:t>揽方在完成定</w:t>
      </w:r>
      <w:r>
        <w:rPr>
          <w:rFonts w:ascii="宋体;方正书宋_GBK" w:hAnsi="宋体;方正书宋_GBK" w:cs="宋体;方正书宋_GBK"/>
          <w:sz w:val="18"/>
          <w:szCs w:val="18"/>
        </w:rPr>
        <w:t>作商品的安装后，应对定作商品</w:t>
      </w:r>
      <w:r>
        <w:rPr>
          <w:rFonts w:ascii="宋体;方正书宋_GBK" w:hAnsi="宋体;方正书宋_GBK" w:cs="宋体;方正书宋_GBK"/>
          <w:sz w:val="18"/>
          <w:szCs w:val="18"/>
        </w:rPr>
        <w:t>质量自行检验，</w:t>
      </w:r>
      <w:r>
        <w:rPr>
          <w:rFonts w:ascii="宋体;方正书宋_GBK" w:hAnsi="宋体;方正书宋_GBK" w:cs="宋体;方正书宋_GBK"/>
          <w:sz w:val="18"/>
          <w:szCs w:val="18"/>
        </w:rPr>
        <w:t>自</w:t>
      </w:r>
      <w:r>
        <w:rPr>
          <w:rFonts w:ascii="宋体;方正书宋_GBK" w:hAnsi="宋体;方正书宋_GBK" w:cs="宋体;方正书宋_GBK"/>
          <w:sz w:val="18"/>
          <w:szCs w:val="18"/>
        </w:rPr>
        <w:t>行检验合</w:t>
      </w:r>
      <w:r>
        <w:rPr>
          <w:rFonts w:ascii="宋体;方正书宋_GBK" w:hAnsi="宋体;方正书宋_GBK" w:cs="宋体;方正书宋_GBK"/>
          <w:sz w:val="18"/>
          <w:szCs w:val="18"/>
        </w:rPr>
        <w:t>格后</w:t>
      </w:r>
      <w:r>
        <w:rPr>
          <w:rFonts w:ascii="宋体;方正书宋_GBK" w:hAnsi="宋体;方正书宋_GBK" w:cs="宋体;方正书宋_GBK"/>
          <w:sz w:val="18"/>
          <w:szCs w:val="18"/>
        </w:rPr>
        <w:t>方可交</w:t>
      </w:r>
      <w:r>
        <w:rPr>
          <w:rFonts w:ascii="宋体;方正书宋_GBK" w:hAnsi="宋体;方正书宋_GBK" w:cs="宋体;方正书宋_GBK"/>
          <w:sz w:val="18"/>
          <w:szCs w:val="18"/>
        </w:rPr>
        <w:t>付定作方验</w:t>
      </w:r>
      <w:r>
        <w:rPr>
          <w:rFonts w:ascii="宋体;方正书宋_GBK" w:hAnsi="宋体;方正书宋_GBK" w:cs="宋体;方正书宋_GBK"/>
          <w:sz w:val="18"/>
          <w:szCs w:val="18"/>
        </w:rPr>
        <w:t>收。</w:t>
      </w:r>
      <w:r>
        <w:rPr>
          <w:rFonts w:ascii="宋体;方正书宋_GBK" w:hAnsi="宋体;方正书宋_GBK" w:cs="宋体;方正书宋_GBK"/>
          <w:sz w:val="18"/>
          <w:szCs w:val="18"/>
        </w:rPr>
      </w:r>
    </w:p>
    <w:p>
      <w:pPr>
        <w:pStyle w:val="Normal"/>
        <w:spacing w:lineRule="exact" w:line="320"/>
        <w:ind w:start="180" w:end="0"/>
        <w:rPr>
          <w:rFonts w:ascii="宋体;方正书宋_GBK" w:hAnsi="宋体;方正书宋_GBK" w:cs="宋体;方正书宋_GBK"/>
          <w:sz w:val="18"/>
          <w:szCs w:val="18"/>
        </w:rPr>
      </w:pPr>
      <w:r>
        <w:rPr>
          <w:rFonts w:ascii="宋体;方正书宋_GBK" w:hAnsi="宋体;方正书宋_GBK" w:cs="宋体;方正书宋_GBK" w:eastAsia="宋体;方正书宋_GBK"/>
          <w:sz w:val="18"/>
          <w:szCs w:val="18"/>
        </w:rPr>
        <w:t>3.</w:t>
      </w:r>
      <w:r>
        <w:rPr>
          <w:rFonts w:cs="宋体;方正书宋_GBK" w:ascii="宋体;方正书宋_GBK" w:hAnsi="宋体;方正书宋_GBK"/>
          <w:sz w:val="18"/>
          <w:szCs w:val="18"/>
        </w:rPr>
        <w:t xml:space="preserve"> 定</w:t>
      </w:r>
      <w:r>
        <w:rPr>
          <w:rFonts w:ascii="宋体;方正书宋_GBK" w:hAnsi="宋体;方正书宋_GBK" w:cs="宋体;方正书宋_GBK"/>
          <w:sz w:val="18"/>
          <w:szCs w:val="18"/>
        </w:rPr>
        <w:t>作方应在承揽方交付时对</w:t>
      </w:r>
      <w:r>
        <w:rPr>
          <w:rFonts w:ascii="宋体;方正书宋_GBK" w:hAnsi="宋体;方正书宋_GBK" w:cs="宋体;方正书宋_GBK"/>
          <w:b/>
          <w:sz w:val="18"/>
          <w:szCs w:val="18"/>
        </w:rPr>
        <w:t>定</w:t>
      </w:r>
      <w:r>
        <w:rPr>
          <w:rFonts w:ascii="宋体;方正书宋_GBK" w:hAnsi="宋体;方正书宋_GBK" w:cs="宋体;方正书宋_GBK"/>
          <w:b/>
          <w:sz w:val="18"/>
          <w:szCs w:val="18"/>
          <w:u w:val="dottedHeavy"/>
        </w:rPr>
        <w:t>作商品的{</w:t>
      </w:r>
      <w:r>
        <w:rPr>
          <w:rFonts w:ascii="黑体;方正黑体_GBK" w:hAnsi="黑体;方正黑体_GBK" w:cs="黑体;方正黑体_GBK" w:eastAsia="黑体;方正黑体_GBK"/>
          <w:b/>
          <w:bCs/>
          <w:sz w:val="18"/>
          <w:szCs w:val="18"/>
        </w:rPr>
        <w:t>定作商品基本情况}</w:t>
      </w:r>
      <w:r>
        <w:rPr>
          <w:rFonts w:ascii="宋体;方正书宋_GBK" w:hAnsi="宋体;方正书宋_GBK" w:cs="宋体;方正书宋_GBK"/>
          <w:b/>
          <w:sz w:val="18"/>
          <w:szCs w:val="18"/>
          <w:u w:val="dottedHeavy"/>
        </w:rPr>
        <w:t>、{包装}、{有无外观瑕疵}等进行验收，并对《使用说明书》、《产品合格证》等材料是否齐全</w:t>
      </w:r>
      <w:r>
        <w:rPr>
          <w:rFonts w:ascii="宋体;方正书宋_GBK" w:hAnsi="宋体;方正书宋_GBK" w:cs="宋体;方正书宋_GBK"/>
          <w:sz w:val="18"/>
          <w:szCs w:val="18"/>
        </w:rPr>
        <w:t>进行确认。定作方发现问题应当场提出，由双方协商达成解决方案，并以书面方式进行确认。</w:t>
      </w:r>
    </w:p>
    <w:p>
      <w:pPr>
        <w:pStyle w:val="Normal"/>
        <w:spacing w:lineRule="exact" w:line="320"/>
        <w:ind w:firstLine="180" w:start="180" w:end="0"/>
        <w:rPr>
          <w:rFonts w:ascii="黑体;方正黑体_GBK" w:hAnsi="黑体;方正黑体_GBK" w:eastAsia="黑体;方正黑体_GBK" w:cs="宋体;方正书宋_GBK"/>
          <w:b/>
          <w:sz w:val="18"/>
          <w:szCs w:val="18"/>
          <w:u w:val="dottedHeavy"/>
        </w:rPr>
      </w:pPr>
      <w:r>
        <w:rPr>
          <w:rFonts w:eastAsia="黑体;方正黑体_GBK" w:cs="宋体;方正书宋_GBK" w:ascii="黑体;方正黑体_GBK" w:hAnsi="黑体;方正黑体_GBK"/>
          <w:sz w:val="18"/>
          <w:szCs w:val="18"/>
        </w:rPr>
        <w:t>4.</w:t>
      </w:r>
      <w:r>
        <w:rPr>
          <w:rFonts w:eastAsia="黑体;方正黑体_GBK" w:ascii="黑体;方正黑体_GBK" w:hAnsi="黑体;方正黑体_GBK"/>
          <w:sz w:val="18"/>
          <w:szCs w:val="18"/>
        </w:rPr>
        <w:t xml:space="preserve"> </w:t>
      </w:r>
      <w:r>
        <w:rPr>
          <w:rFonts w:ascii="黑体;方正黑体_GBK" w:hAnsi="黑体;方正黑体_GBK" w:eastAsia="黑体;方正黑体_GBK"/>
          <w:sz w:val="18"/>
          <w:szCs w:val="18"/>
        </w:rPr>
        <w:t>实木制品（实木贴面、封边、实木地板等商品）和天然石材存在自然色差及不同纹理是不可避免的。{艺术玻璃图案比例}、{人工色差}与样品略有差别，均属正常现象并非质量问题。</w:t>
      </w:r>
    </w:p>
    <w:p>
      <w:pPr>
        <w:pStyle w:val="Normal"/>
        <w:numPr>
          <w:ilvl w:val="0"/>
          <w:numId w:val="0"/>
        </w:numPr>
        <w:spacing w:lineRule="exact" w:line="320"/>
        <w:outlineLvl w:val="0"/>
        <w:rPr>
          <w:rFonts w:ascii="宋体;方正书宋_GBK" w:hAnsi="宋体;方正书宋_GBK" w:cs="宋体;方正书宋_GBK"/>
          <w:sz w:val="18"/>
          <w:szCs w:val="18"/>
        </w:rPr>
      </w:pPr>
      <w:r>
        <w:rPr>
          <w:rFonts w:ascii="宋体;方正书宋_GBK" w:hAnsi="宋体;方正书宋_GBK" w:cs="宋体;方正书宋_GBK" w:eastAsia="宋体;方正书宋_GBK"/>
          <w:sz w:val="18"/>
          <w:szCs w:val="18"/>
        </w:rPr>
        <w:t>三、{质</w:t>
      </w:r>
      <w:r>
        <w:rPr>
          <w:rFonts w:ascii="黑体;方正黑体_GBK" w:hAnsi="黑体;方正黑体_GBK" w:cs="黑体;方正黑体_GBK" w:eastAsia="黑体;方正黑体_GBK"/>
          <w:b/>
          <w:bCs/>
          <w:sz w:val="18"/>
          <w:szCs w:val="18"/>
        </w:rPr>
        <w:t>量标准}</w:t>
      </w:r>
    </w:p>
    <w:p>
      <w:pPr>
        <w:pStyle w:val="Normal"/>
        <w:spacing w:lineRule="exact" w:line="320"/>
        <w:rPr>
          <w:rFonts w:ascii="宋体;方正书宋_GBK" w:hAnsi="宋体;方正书宋_GBK" w:cs="宋体;方正书宋_GBK"/>
          <w:sz w:val="18"/>
          <w:szCs w:val="18"/>
        </w:rPr>
      </w:pPr>
      <w:r>
        <w:rPr>
          <w:rFonts w:ascii="宋体;方正书宋_GBK" w:hAnsi="宋体;方正书宋_GBK" w:cs="宋体;方正书宋_GBK" w:eastAsia="宋体;方正书宋_GBK"/>
          <w:sz w:val="18"/>
          <w:szCs w:val="18"/>
        </w:rPr>
        <w:t>1.定作</w:t>
      </w:r>
      <w:r>
        <w:rPr>
          <w:rFonts w:cs="宋体;方正书宋_GBK" w:ascii="宋体;方正书宋_GBK" w:hAnsi="宋体;方正书宋_GBK"/>
          <w:sz w:val="18"/>
          <w:szCs w:val="18"/>
        </w:rPr>
        <w:t>商品</w:t>
      </w:r>
      <w:r>
        <w:rPr>
          <w:rFonts w:ascii="宋体;方正书宋_GBK" w:hAnsi="宋体;方正书宋_GBK" w:cs="宋体;方正书宋_GBK"/>
          <w:sz w:val="18"/>
          <w:szCs w:val="18"/>
          <w:u w:val="dotted"/>
        </w:rPr>
        <w:t>涉及水、电、气改造的，应符合国家、行业等相关技术规定。</w:t>
      </w:r>
    </w:p>
    <w:p>
      <w:pPr>
        <w:pStyle w:val="Normal"/>
        <w:spacing w:lineRule="exact" w:line="320"/>
        <w:ind w:start="180" w:end="0"/>
        <w:rPr>
          <w:rFonts w:ascii="宋体;方正书宋_GBK" w:hAnsi="宋体;方正书宋_GBK" w:cs="宋体;方正书宋_GBK"/>
          <w:sz w:val="18"/>
          <w:szCs w:val="18"/>
        </w:rPr>
      </w:pPr>
      <w:r>
        <w:rPr>
          <w:rFonts w:ascii="宋体;方正书宋_GBK" w:hAnsi="宋体;方正书宋_GBK" w:cs="宋体;方正书宋_GBK" w:eastAsia="宋体;方正书宋_GBK"/>
          <w:sz w:val="18"/>
          <w:szCs w:val="18"/>
        </w:rPr>
        <w:t>2.</w:t>
      </w:r>
      <w:r>
        <w:rPr>
          <w:rFonts w:cs="宋体;方正书宋_GBK" w:ascii="宋体;方正书宋_GBK" w:hAnsi="宋体;方正书宋_GBK"/>
          <w:sz w:val="18"/>
          <w:szCs w:val="18"/>
        </w:rPr>
        <w:t xml:space="preserve"> </w:t>
      </w:r>
      <w:r>
        <w:rPr>
          <w:rFonts w:cs="宋体;方正书宋_GBK" w:ascii="宋体;方正书宋_GBK" w:hAnsi="宋体;方正书宋_GBK"/>
          <w:sz w:val="18"/>
          <w:szCs w:val="18"/>
        </w:rPr>
        <w:t>承</w:t>
      </w:r>
      <w:r>
        <w:rPr>
          <w:rFonts w:ascii="宋体;方正书宋_GBK" w:hAnsi="宋体;方正书宋_GBK" w:cs="宋体;方正书宋_GBK"/>
          <w:sz w:val="18"/>
          <w:szCs w:val="18"/>
        </w:rPr>
        <w:t>揽方所</w:t>
      </w:r>
      <w:r>
        <w:rPr>
          <w:rFonts w:ascii="宋体;方正书宋_GBK" w:hAnsi="宋体;方正书宋_GBK" w:cs="宋体;方正书宋_GBK"/>
          <w:sz w:val="18"/>
          <w:szCs w:val="18"/>
        </w:rPr>
        <w:t>提供的材料应</w:t>
      </w:r>
      <w:r>
        <w:rPr>
          <w:rFonts w:ascii="宋体;方正书宋_GBK" w:hAnsi="宋体;方正书宋_GBK" w:cs="宋体;方正书宋_GBK"/>
          <w:sz w:val="18"/>
          <w:szCs w:val="18"/>
        </w:rPr>
        <w:t>符合《室内装饰装修材料有害物质限量》和其他相关质量标准要求。</w:t>
      </w:r>
    </w:p>
    <w:p>
      <w:pPr>
        <w:pStyle w:val="Normal"/>
        <w:spacing w:lineRule="exact" w:line="320"/>
        <w:ind w:firstLine="180" w:start="180" w:end="0"/>
        <w:rPr>
          <w:rFonts w:ascii="宋体;方正书宋_GBK" w:hAnsi="宋体;方正书宋_GBK" w:cs="宋体;方正书宋_GBK"/>
          <w:sz w:val="18"/>
          <w:szCs w:val="18"/>
        </w:rPr>
      </w:pPr>
      <w:r>
        <w:rPr>
          <w:rFonts w:cs="宋体;方正书宋_GBK" w:ascii="宋体;方正书宋_GBK" w:hAnsi="宋体;方正书宋_GBK"/>
          <w:sz w:val="18"/>
          <w:szCs w:val="18"/>
        </w:rPr>
        <w:t>3.</w:t>
      </w:r>
      <w:r>
        <w:rPr>
          <w:rFonts w:ascii="宋体;方正书宋_GBK" w:hAnsi="宋体;方正书宋_GBK" w:cs="宋体;方正书宋_GBK"/>
          <w:sz w:val="18"/>
          <w:szCs w:val="18"/>
        </w:rPr>
        <w:t>承揽方交</w:t>
      </w:r>
      <w:r>
        <w:rPr>
          <w:rFonts w:ascii="宋体;方正书宋_GBK" w:hAnsi="宋体;方正书宋_GBK" w:cs="宋体;方正书宋_GBK"/>
          <w:sz w:val="18"/>
          <w:szCs w:val="18"/>
        </w:rPr>
        <w:t>付的定作商品应</w:t>
      </w:r>
      <w:r>
        <w:rPr>
          <w:rFonts w:ascii="宋体;方正书宋_GBK" w:hAnsi="宋体;方正书宋_GBK" w:cs="宋体;方正书宋_GBK"/>
          <w:sz w:val="18"/>
          <w:szCs w:val="18"/>
        </w:rPr>
        <w:t>符合</w:t>
      </w:r>
      <w:r>
        <w:rPr>
          <w:rFonts w:ascii="宋体;方正书宋_GBK" w:hAnsi="宋体;方正书宋_GBK" w:cs="宋体;方正书宋_GBK"/>
          <w:sz w:val="18"/>
          <w:szCs w:val="18"/>
        </w:rPr>
        <w:t>合同</w:t>
      </w:r>
      <w:r>
        <w:rPr>
          <w:rFonts w:ascii="宋体;方正书宋_GBK" w:hAnsi="宋体;方正书宋_GBK" w:cs="宋体;方正书宋_GBK"/>
          <w:sz w:val="18"/>
          <w:szCs w:val="18"/>
        </w:rPr>
        <w:t>约定</w:t>
      </w:r>
      <w:r>
        <w:rPr>
          <w:rFonts w:ascii="宋体;方正书宋_GBK" w:hAnsi="宋体;方正书宋_GBK" w:cs="宋体;方正书宋_GBK"/>
          <w:sz w:val="18"/>
          <w:szCs w:val="18"/>
        </w:rPr>
        <w:t>和国家</w:t>
      </w:r>
      <w:r>
        <w:rPr>
          <w:rFonts w:ascii="宋体;方正书宋_GBK" w:hAnsi="宋体;方正书宋_GBK" w:cs="宋体;方正书宋_GBK"/>
          <w:sz w:val="18"/>
          <w:szCs w:val="18"/>
        </w:rPr>
        <w:t>、行业关于产品质量</w:t>
      </w:r>
      <w:r>
        <w:rPr>
          <w:rFonts w:ascii="宋体;方正书宋_GBK" w:hAnsi="宋体;方正书宋_GBK" w:cs="宋体;方正书宋_GBK"/>
          <w:sz w:val="18"/>
          <w:szCs w:val="18"/>
        </w:rPr>
        <w:t>、</w:t>
      </w:r>
      <w:r>
        <w:rPr>
          <w:rFonts w:ascii="宋体;方正书宋_GBK" w:hAnsi="宋体;方正书宋_GBK" w:cs="宋体;方正书宋_GBK"/>
          <w:sz w:val="18"/>
          <w:szCs w:val="18"/>
        </w:rPr>
        <w:t>安全、</w:t>
      </w:r>
      <w:r>
        <w:rPr>
          <w:rFonts w:ascii="宋体;方正书宋_GBK" w:hAnsi="宋体;方正书宋_GBK" w:cs="宋体;方正书宋_GBK"/>
          <w:sz w:val="18"/>
          <w:szCs w:val="18"/>
        </w:rPr>
        <w:t>健康、</w:t>
      </w:r>
      <w:r>
        <w:rPr>
          <w:rFonts w:ascii="宋体;方正书宋_GBK" w:hAnsi="宋体;方正书宋_GBK" w:cs="宋体;方正书宋_GBK"/>
          <w:sz w:val="18"/>
          <w:szCs w:val="18"/>
        </w:rPr>
        <w:t>环</w:t>
      </w:r>
      <w:r>
        <w:rPr>
          <w:rFonts w:ascii="宋体;方正书宋_GBK" w:hAnsi="宋体;方正书宋_GBK" w:cs="宋体;方正书宋_GBK"/>
          <w:sz w:val="18"/>
          <w:szCs w:val="18"/>
        </w:rPr>
        <w:t>保</w:t>
      </w:r>
      <w:r>
        <w:rPr>
          <w:rFonts w:ascii="宋体;方正书宋_GBK" w:hAnsi="宋体;方正书宋_GBK" w:cs="宋体;方正书宋_GBK"/>
          <w:sz w:val="18"/>
          <w:szCs w:val="18"/>
        </w:rPr>
        <w:t>等</w:t>
      </w:r>
      <w:r>
        <w:rPr>
          <w:rFonts w:ascii="宋体;方正书宋_GBK" w:hAnsi="宋体;方正书宋_GBK" w:cs="宋体;方正书宋_GBK"/>
          <w:sz w:val="18"/>
          <w:szCs w:val="18"/>
        </w:rPr>
        <w:t>方面的法律、法规</w:t>
      </w:r>
      <w:r>
        <w:rPr>
          <w:rFonts w:ascii="宋体;方正书宋_GBK" w:hAnsi="宋体;方正书宋_GBK" w:cs="宋体;方正书宋_GBK"/>
          <w:sz w:val="18"/>
          <w:szCs w:val="18"/>
        </w:rPr>
        <w:t>和</w:t>
      </w:r>
      <w:r>
        <w:rPr>
          <w:rFonts w:ascii="宋体;方正书宋_GBK" w:hAnsi="宋体;方正书宋_GBK" w:cs="宋体;方正书宋_GBK"/>
          <w:sz w:val="18"/>
          <w:szCs w:val="18"/>
        </w:rPr>
        <w:t>标准的规定</w:t>
      </w:r>
      <w:r>
        <w:rPr>
          <w:rFonts w:ascii="宋体;方正书宋_GBK" w:hAnsi="宋体;方正书宋_GBK" w:cs="宋体;方正书宋_GBK"/>
          <w:sz w:val="18"/>
          <w:szCs w:val="18"/>
        </w:rPr>
        <w:t>。</w:t>
      </w:r>
    </w:p>
    <w:p>
      <w:pPr>
        <w:pStyle w:val="Normal"/>
        <w:spacing w:lineRule="exact" w:line="320"/>
        <w:ind w:start="180" w:end="0"/>
        <w:rPr>
          <w:rFonts w:ascii="宋体;方正书宋_GBK" w:hAnsi="宋体;方正书宋_GBK" w:cs="宋体;方正书宋_GBK"/>
          <w:sz w:val="18"/>
          <w:szCs w:val="18"/>
        </w:rPr>
      </w:pPr>
      <w:r>
        <w:rPr>
          <w:rFonts w:ascii="宋体;方正书宋_GBK" w:hAnsi="宋体;方正书宋_GBK" w:cs="宋体;方正书宋_GBK" w:eastAsia="宋体;方正书宋_GBK"/>
          <w:sz w:val="18"/>
          <w:szCs w:val="18"/>
        </w:rPr>
        <w:t>4.</w:t>
      </w:r>
      <w:r>
        <w:rPr>
          <w:rFonts w:cs="宋体;方正书宋_GBK" w:ascii="宋体;方正书宋_GBK" w:hAnsi="宋体;方正书宋_GBK"/>
          <w:sz w:val="18"/>
          <w:szCs w:val="18"/>
        </w:rPr>
        <w:t>定</w:t>
      </w:r>
      <w:r>
        <w:rPr>
          <w:rFonts w:cs="宋体;方正书宋_GBK" w:ascii="宋体;方正书宋_GBK" w:hAnsi="宋体;方正书宋_GBK"/>
          <w:sz w:val="18"/>
          <w:szCs w:val="18"/>
        </w:rPr>
        <w:t>作</w:t>
      </w:r>
      <w:r>
        <w:rPr>
          <w:rFonts w:ascii="宋体;方正书宋_GBK" w:hAnsi="宋体;方正书宋_GBK" w:cs="宋体;方正书宋_GBK"/>
          <w:sz w:val="18"/>
          <w:szCs w:val="18"/>
        </w:rPr>
        <w:t>商品为儿童家具的，应符合《儿童家具通用技术条件》（{标</w:t>
      </w:r>
      <w:r>
        <w:rPr>
          <w:rFonts w:cs="宋体;方正书宋_GBK" w:ascii="宋体;方正书宋_GBK" w:hAnsi="宋体;方正书宋_GBK"/>
          <w:sz w:val="18"/>
          <w:szCs w:val="18"/>
        </w:rPr>
        <w:t>准编号}）及相关</w:t>
      </w:r>
      <w:r>
        <w:rPr>
          <w:rFonts w:ascii="宋体;方正书宋_GBK" w:hAnsi="宋体;方正书宋_GBK" w:cs="宋体;方正书宋_GBK"/>
          <w:sz w:val="18"/>
          <w:szCs w:val="18"/>
        </w:rPr>
        <w:t>产品的国家、行业等标准的要求。</w:t>
      </w:r>
    </w:p>
    <w:p>
      <w:pPr>
        <w:pStyle w:val="Normal"/>
        <w:spacing w:lineRule="exact" w:line="320"/>
        <w:ind w:start="180" w:end="0"/>
        <w:rPr>
          <w:rFonts w:ascii="宋体;方正书宋_GBK" w:hAnsi="宋体;方正书宋_GBK" w:cs="宋体;方正书宋_GBK"/>
          <w:sz w:val="18"/>
          <w:szCs w:val="18"/>
        </w:rPr>
      </w:pPr>
      <w:r>
        <w:rPr>
          <w:rFonts w:ascii="宋体;方正书宋_GBK" w:hAnsi="宋体;方正书宋_GBK" w:cs="宋体;方正书宋_GBK" w:eastAsia="宋体;方正书宋_GBK"/>
          <w:sz w:val="18"/>
          <w:szCs w:val="18"/>
        </w:rPr>
        <w:t>5.</w:t>
      </w:r>
      <w:r>
        <w:rPr>
          <w:rFonts w:cs="宋体;方正书宋_GBK" w:ascii="宋体;方正书宋_GBK" w:hAnsi="宋体;方正书宋_GBK"/>
          <w:sz w:val="18"/>
          <w:szCs w:val="18"/>
        </w:rPr>
        <w:t>{提</w:t>
      </w:r>
      <w:r>
        <w:rPr>
          <w:rFonts w:ascii="宋体;方正书宋_GBK" w:hAnsi="宋体;方正书宋_GBK" w:cs="宋体;方正书宋_GBK"/>
          <w:sz w:val="18"/>
          <w:szCs w:val="18"/>
        </w:rPr>
        <w:t>交的技术资料</w:t>
      </w:r>
      <w:r>
        <w:rPr>
          <w:rFonts w:ascii="宋体;方正书宋_GBK" w:hAnsi="宋体;方正书宋_GBK" w:cs="宋体;方正书宋_GBK"/>
          <w:sz w:val="18"/>
          <w:szCs w:val="18"/>
        </w:rPr>
        <w:t>及文件}</w:t>
      </w:r>
      <w:r>
        <w:rPr>
          <w:rFonts w:ascii="宋体;方正书宋_GBK" w:hAnsi="宋体;方正书宋_GBK" w:cs="宋体;方正书宋_GBK"/>
          <w:sz w:val="18"/>
          <w:szCs w:val="18"/>
        </w:rPr>
      </w:r>
      <w:r>
        <w:rPr>
          <w:rFonts w:ascii="宋体;方正书宋_GBK" w:hAnsi="宋体;方正书宋_GBK" w:cs="宋体;方正书宋_GBK"/>
          <w:sz w:val="18"/>
          <w:szCs w:val="18"/>
        </w:rPr>
      </w:r>
      <w:r>
        <w:rPr>
          <w:rFonts w:ascii="宋体;方正书宋_GBK" w:hAnsi="宋体;方正书宋_GBK" w:cs="宋体;方正书宋_GBK"/>
          <w:sz w:val="18"/>
          <w:szCs w:val="18"/>
        </w:rPr>
      </w:r>
      <w:r>
        <w:rPr>
          <w:rFonts w:ascii="宋体;方正书宋_GBK" w:hAnsi="宋体;方正书宋_GBK" w:cs="宋体;方正书宋_GBK"/>
          <w:sz w:val="18"/>
          <w:szCs w:val="18"/>
        </w:rPr>
      </w:r>
      <w:r>
        <w:rPr>
          <w:rFonts w:ascii="宋体;方正书宋_GBK" w:hAnsi="宋体;方正书宋_GBK" w:cs="宋体;方正书宋_GBK"/>
          <w:sz w:val="18"/>
          <w:szCs w:val="18"/>
        </w:rPr>
      </w:r>
      <w:r>
        <w:rPr>
          <w:rFonts w:ascii="宋体;方正书宋_GBK" w:hAnsi="宋体;方正书宋_GBK" w:cs="宋体;方正书宋_GBK"/>
          <w:sz w:val="18"/>
          <w:szCs w:val="18"/>
        </w:rPr>
      </w:r>
      <w:r>
        <w:rPr>
          <w:rFonts w:ascii="宋体;方正书宋_GBK" w:hAnsi="宋体;方正书宋_GBK" w:cs="宋体;方正书宋_GBK"/>
          <w:sz w:val="18"/>
          <w:szCs w:val="18"/>
        </w:rPr>
      </w:r>
      <w:r>
        <w:rPr>
          <w:rFonts w:ascii="宋体;方正书宋_GBK" w:hAnsi="宋体;方正书宋_GBK" w:cs="宋体;方正书宋_GBK"/>
          <w:sz w:val="18"/>
          <w:szCs w:val="18"/>
        </w:rPr>
      </w:r>
    </w:p>
    <w:p>
      <w:pPr>
        <w:pStyle w:val="Normal"/>
        <w:numPr>
          <w:ilvl w:val="0"/>
          <w:numId w:val="0"/>
        </w:numPr>
        <w:spacing w:lineRule="exact" w:line="320"/>
        <w:ind w:firstLine="361" w:end="0"/>
        <w:outlineLvl w:val="0"/>
        <w:rPr>
          <w:rFonts w:ascii="黑体;方正黑体_GBK" w:hAnsi="黑体;方正黑体_GBK" w:eastAsia="黑体;方正黑体_GBK" w:cs="黑体;方正黑体_GBK"/>
          <w:b/>
          <w:bCs/>
          <w:sz w:val="18"/>
          <w:szCs w:val="18"/>
        </w:rPr>
      </w:pPr>
      <w:r>
        <w:rPr>
          <w:rFonts w:ascii="黑体;方正黑体_GBK" w:hAnsi="黑体;方正黑体_GBK" w:cs="黑体;方正黑体_GBK" w:eastAsia="黑体;方正黑体_GBK"/>
          <w:b/>
          <w:bCs/>
          <w:sz w:val="18"/>
          <w:szCs w:val="18"/>
        </w:rPr>
        <w:t>四</w:t>
      </w:r>
      <w:r>
        <w:rPr>
          <w:rFonts w:ascii="黑体;方正黑体_GBK" w:hAnsi="黑体;方正黑体_GBK" w:cs="黑体;方正黑体_GBK" w:eastAsia="黑体;方正黑体_GBK"/>
          <w:b/>
          <w:bCs/>
          <w:sz w:val="18"/>
          <w:szCs w:val="18"/>
        </w:rPr>
        <w:t>、</w:t>
      </w:r>
      <w:r>
        <w:rPr>
          <w:rFonts w:ascii="黑体;方正黑体_GBK" w:hAnsi="黑体;方正黑体_GBK" w:cs="黑体;方正黑体_GBK" w:eastAsia="黑体;方正黑体_GBK"/>
          <w:b/>
          <w:bCs/>
          <w:sz w:val="18"/>
          <w:szCs w:val="18"/>
        </w:rPr>
        <w:t>违约责任</w:t>
      </w:r>
    </w:p>
    <w:p>
      <w:pPr>
        <w:pStyle w:val="BodyTextIndent"/>
        <w:tabs>
          <w:tab w:val="clear" w:pos="420"/>
          <w:tab w:val="left" w:pos="910" w:leader="none"/>
        </w:tabs>
        <w:spacing w:lineRule="exact" w:line="320"/>
        <w:ind w:firstLine="360" w:end="0"/>
        <w:rPr>
          <w:rFonts w:ascii="黑体;方正黑体_GBK" w:hAnsi="黑体;方正黑体_GBK" w:eastAsia="黑体;方正黑体_GBK" w:cs="宋体;方正书宋_GBK"/>
          <w:b w:val="false"/>
          <w:sz w:val="18"/>
          <w:szCs w:val="18"/>
        </w:rPr>
      </w:pPr>
      <w:r>
        <w:rPr>
          <w:rFonts w:eastAsia="黑体;方正黑体_GBK" w:cs="宋体;方正书宋_GBK" w:ascii="黑体;方正黑体_GBK" w:hAnsi="黑体;方正黑体_GBK"/>
          <w:b w:val="false"/>
          <w:sz w:val="18"/>
          <w:szCs w:val="18"/>
        </w:rPr>
        <w:t>1.</w:t>
      </w:r>
      <w:r>
        <w:rPr>
          <w:rFonts w:ascii="黑体;方正黑体_GBK" w:hAnsi="黑体;方正黑体_GBK" w:cs="宋体;方正书宋_GBK" w:eastAsia="黑体;方正黑体_GBK"/>
          <w:b w:val="false"/>
          <w:sz w:val="18"/>
          <w:szCs w:val="18"/>
        </w:rPr>
        <w:t>因承揽方原因导致定作商品未达到有关质量标准的，承揽方应修理或重作。因修理或重作造成迟延交付的，按</w:t>
      </w:r>
      <w:r>
        <w:rPr>
          <w:rFonts w:ascii="黑体;方正黑体_GBK" w:hAnsi="黑体;方正黑体_GBK" w:cs="黑体;方正黑体_GBK" w:eastAsia="黑体;方正黑体_GBK"/>
          <w:sz w:val="18"/>
          <w:szCs w:val="18"/>
        </w:rPr>
        <w:t>第六条“</w:t>
      </w:r>
      <w:r>
        <w:rPr>
          <w:rFonts w:ascii="黑体;方正黑体_GBK" w:hAnsi="黑体;方正黑体_GBK" w:cs="黑体;方正黑体_GBK" w:eastAsia="黑体;方正黑体_GBK"/>
          <w:bCs/>
          <w:sz w:val="18"/>
          <w:szCs w:val="18"/>
        </w:rPr>
        <w:t>违约金</w:t>
      </w:r>
      <w:r>
        <w:rPr>
          <w:rFonts w:ascii="黑体;方正黑体_GBK" w:hAnsi="黑体;方正黑体_GBK" w:cs="黑体;方正黑体_GBK" w:eastAsia="黑体;方正黑体_GBK"/>
          <w:sz w:val="18"/>
          <w:szCs w:val="18"/>
        </w:rPr>
        <w:t>”</w:t>
      </w:r>
      <w:r>
        <w:rPr>
          <w:rFonts w:ascii="黑体;方正黑体_GBK" w:hAnsi="黑体;方正黑体_GBK" w:cs="宋体;方正书宋_GBK" w:eastAsia="黑体;方正黑体_GBK"/>
          <w:b w:val="false"/>
          <w:sz w:val="18"/>
          <w:szCs w:val="18"/>
        </w:rPr>
        <w:t>第</w:t>
      </w:r>
      <w:r>
        <w:rPr>
          <w:rFonts w:eastAsia="黑体;方正黑体_GBK" w:cs="宋体;方正书宋_GBK" w:ascii="黑体;方正黑体_GBK" w:hAnsi="黑体;方正黑体_GBK"/>
          <w:b w:val="false"/>
          <w:sz w:val="18"/>
          <w:szCs w:val="18"/>
        </w:rPr>
        <w:t>1</w:t>
      </w:r>
      <w:r>
        <w:rPr>
          <w:rFonts w:ascii="黑体;方正黑体_GBK" w:hAnsi="黑体;方正黑体_GBK" w:cs="宋体;方正书宋_GBK" w:eastAsia="黑体;方正黑体_GBK"/>
          <w:b w:val="false"/>
          <w:sz w:val="18"/>
          <w:szCs w:val="18"/>
        </w:rPr>
        <w:t>款的标准支付违约金。经承揽方修理或重作后，仍未达到质量标准的，定作方有权解除合同，承揽方应赔偿定作方损失（包括但不限于相应的检测费、交通费、误工费等）。</w:t>
      </w:r>
    </w:p>
    <w:p>
      <w:pPr>
        <w:pStyle w:val="BodyTextIndent"/>
        <w:tabs>
          <w:tab w:val="clear" w:pos="420"/>
          <w:tab w:val="left" w:pos="910" w:leader="none"/>
        </w:tabs>
        <w:spacing w:lineRule="exact" w:line="320"/>
        <w:ind w:firstLine="360" w:end="0"/>
        <w:rPr>
          <w:rFonts w:ascii="黑体;方正黑体_GBK" w:hAnsi="黑体;方正黑体_GBK" w:eastAsia="黑体;方正黑体_GBK" w:cs="宋体;方正书宋_GBK"/>
          <w:b w:val="false"/>
          <w:sz w:val="18"/>
          <w:szCs w:val="18"/>
        </w:rPr>
      </w:pPr>
      <w:r>
        <w:rPr>
          <w:rFonts w:eastAsia="黑体;方正黑体_GBK" w:cs="宋体;方正书宋_GBK" w:ascii="黑体;方正黑体_GBK" w:hAnsi="黑体;方正黑体_GBK"/>
          <w:b w:val="false"/>
          <w:sz w:val="18"/>
          <w:szCs w:val="18"/>
        </w:rPr>
        <w:t>2.</w:t>
      </w:r>
      <w:r>
        <w:rPr>
          <w:rFonts w:ascii="黑体;方正黑体_GBK" w:hAnsi="黑体;方正黑体_GBK" w:cs="宋体;方正书宋_GBK" w:eastAsia="黑体;方正黑体_GBK"/>
          <w:b w:val="false"/>
          <w:sz w:val="18"/>
          <w:szCs w:val="18"/>
        </w:rPr>
        <w:t>定作方中途变更或解除合同，应及时以书面方式通知承揽方；给承揽方造成损失的，应承担相应赔偿责任。</w:t>
      </w:r>
    </w:p>
    <w:p>
      <w:pPr>
        <w:pStyle w:val="BodyTextIndent"/>
        <w:tabs>
          <w:tab w:val="clear" w:pos="420"/>
          <w:tab w:val="left" w:pos="910" w:leader="none"/>
        </w:tabs>
        <w:spacing w:lineRule="exact" w:line="320"/>
        <w:ind w:firstLine="360" w:end="0"/>
        <w:rPr>
          <w:rFonts w:ascii="黑体;方正黑体_GBK" w:hAnsi="黑体;方正黑体_GBK" w:eastAsia="黑体;方正黑体_GBK" w:cs="宋体;方正书宋_GBK"/>
          <w:b w:val="false"/>
          <w:sz w:val="18"/>
          <w:szCs w:val="18"/>
        </w:rPr>
      </w:pPr>
      <w:r>
        <w:rPr>
          <w:rFonts w:eastAsia="黑体;方正黑体_GBK" w:cs="宋体;方正书宋_GBK" w:ascii="黑体;方正黑体_GBK" w:hAnsi="黑体;方正黑体_GBK"/>
          <w:b w:val="false"/>
          <w:sz w:val="18"/>
          <w:szCs w:val="18"/>
        </w:rPr>
        <w:t>3.</w:t>
      </w:r>
      <w:r>
        <w:rPr>
          <w:rFonts w:ascii="黑体;方正黑体_GBK" w:hAnsi="黑体;方正黑体_GBK" w:cs="宋体;方正书宋_GBK" w:eastAsia="黑体;方正黑体_GBK"/>
          <w:b w:val="false"/>
          <w:sz w:val="18"/>
          <w:szCs w:val="18"/>
        </w:rPr>
        <w:t>定作方应协助承揽方完成工作。如因定作方不履行协助义务致使承揽方不能完成定作工作的，承揽方可以催告定作方履行协助义务，并可以顺延履行期限；经催告，定作方仍不履行的，承揽方有权解除合同。</w:t>
      </w:r>
    </w:p>
    <w:p>
      <w:pPr>
        <w:pStyle w:val="Normal"/>
        <w:spacing w:lineRule="exact" w:line="320"/>
        <w:ind w:firstLine="360" w:end="0"/>
        <w:rPr>
          <w:rFonts w:ascii="黑体;方正黑体_GBK" w:hAnsi="黑体;方正黑体_GBK" w:eastAsia="黑体;方正黑体_GBK" w:cs="宋体;方正书宋_GBK"/>
          <w:sz w:val="18"/>
          <w:szCs w:val="18"/>
        </w:rPr>
      </w:pPr>
      <w:r>
        <w:rPr>
          <w:rFonts w:eastAsia="黑体;方正黑体_GBK" w:cs="宋体;方正书宋_GBK" w:ascii="黑体;方正黑体_GBK" w:hAnsi="黑体;方正黑体_GBK"/>
          <w:sz w:val="18"/>
          <w:szCs w:val="18"/>
        </w:rPr>
        <w:t>4.</w:t>
      </w:r>
      <w:r>
        <w:rPr>
          <w:rFonts w:ascii="黑体;方正黑体_GBK" w:hAnsi="黑体;方正黑体_GBK" w:cs="宋体;方正书宋_GBK" w:eastAsia="黑体;方正黑体_GBK"/>
          <w:sz w:val="18"/>
          <w:szCs w:val="18"/>
        </w:rPr>
        <w:t>设计图纸经双方签字确认后，因一方原因更改设计图纸的，由更改方承担延期交货安装、费用增加、损失承担等责任。</w:t>
      </w:r>
    </w:p>
    <w:p>
      <w:pPr>
        <w:pStyle w:val="Normal"/>
        <w:spacing w:lineRule="exact" w:line="320"/>
        <w:ind w:firstLine="360" w:end="0"/>
        <w:rPr>
          <w:rFonts w:ascii="黑体;方正黑体_GBK" w:hAnsi="黑体;方正黑体_GBK" w:eastAsia="黑体;方正黑体_GBK"/>
          <w:sz w:val="18"/>
          <w:szCs w:val="18"/>
        </w:rPr>
      </w:pPr>
      <w:r>
        <w:rPr>
          <w:rFonts w:eastAsia="黑体;方正黑体_GBK" w:ascii="黑体;方正黑体_GBK" w:hAnsi="黑体;方正黑体_GBK"/>
          <w:sz w:val="18"/>
          <w:szCs w:val="18"/>
        </w:rPr>
        <w:t>5.</w:t>
      </w:r>
      <w:r>
        <w:rPr>
          <w:rFonts w:ascii="黑体;方正黑体_GBK" w:hAnsi="黑体;方正黑体_GBK" w:eastAsia="黑体;方正黑体_GBK"/>
          <w:sz w:val="18"/>
          <w:szCs w:val="18"/>
        </w:rPr>
        <w:t>在部分或全部商品安装完毕后，若非因承揽方原因造成部分或全部货物需要多次拆卸、安装，定作方有义务协助承揽方安装完毕，因此造成的运费、人工等费用，由定作方承担。</w:t>
      </w:r>
    </w:p>
    <w:p>
      <w:pPr>
        <w:pStyle w:val="Normal"/>
        <w:spacing w:lineRule="exact" w:line="320"/>
        <w:ind w:firstLine="356" w:end="0"/>
        <w:rPr>
          <w:rFonts w:ascii="黑体;方正黑体_GBK" w:hAnsi="黑体;方正黑体_GBK" w:eastAsia="黑体;方正黑体_GBK"/>
          <w:sz w:val="18"/>
          <w:szCs w:val="18"/>
        </w:rPr>
      </w:pPr>
      <w:r>
        <w:rPr>
          <w:rFonts w:eastAsia="黑体;方正黑体_GBK" w:ascii="黑体;方正黑体_GBK" w:hAnsi="黑体;方正黑体_GBK"/>
          <w:sz w:val="18"/>
          <w:szCs w:val="18"/>
        </w:rPr>
        <w:t>6.</w:t>
      </w:r>
      <w:r>
        <w:rPr>
          <w:rFonts w:ascii="黑体;方正黑体_GBK" w:hAnsi="黑体;方正黑体_GBK" w:cs="宋体;方正书宋_GBK" w:eastAsia="黑体;方正黑体_GBK"/>
          <w:sz w:val="18"/>
          <w:szCs w:val="18"/>
        </w:rPr>
        <w:t>承揽方或主办单位做出对定作方更有利的责任承诺的，按照该承诺执行。</w:t>
      </w:r>
    </w:p>
    <w:p>
      <w:pPr>
        <w:pStyle w:val="Normal"/>
        <w:spacing w:lineRule="exact" w:line="320"/>
        <w:ind w:firstLine="360" w:end="0"/>
        <w:rPr>
          <w:rFonts w:ascii="黑体;方正黑体_GBK" w:hAnsi="黑体;方正黑体_GBK" w:eastAsia="黑体;方正黑体_GBK" w:cs="宋体;方正书宋_GBK"/>
          <w:sz w:val="18"/>
          <w:szCs w:val="18"/>
        </w:rPr>
      </w:pPr>
      <w:r>
        <w:rPr>
          <w:rFonts w:eastAsia="黑体;方正黑体_GBK" w:cs="宋体;方正书宋_GBK" w:ascii="黑体;方正黑体_GBK" w:hAnsi="黑体;方正黑体_GBK"/>
          <w:sz w:val="18"/>
          <w:szCs w:val="18"/>
        </w:rPr>
        <w:t>7.</w:t>
      </w:r>
      <w:r>
        <w:rPr>
          <w:rFonts w:ascii="黑体;方正黑体_GBK" w:hAnsi="黑体;方正黑体_GBK" w:cs="宋体;方正书宋_GBK" w:eastAsia="黑体;方正黑体_GBK"/>
          <w:sz w:val="18"/>
          <w:szCs w:val="18"/>
        </w:rPr>
        <w:t>在展销会或市场内签订的合同，展销会或市场主办单位应在合同上盖章并留存本合同。定作方撤离展销会或市场的，承揽方可要求主办单位先行承担赔偿责任；主办单位承担责任后，有权向承揽方追偿。</w:t>
      </w:r>
    </w:p>
    <w:p>
      <w:pPr>
        <w:pStyle w:val="Normal"/>
        <w:spacing w:lineRule="exact" w:line="320"/>
        <w:ind w:firstLine="360" w:end="0"/>
        <w:rPr>
          <w:rFonts w:ascii="宋体;方正书宋_GBK" w:hAnsi="宋体;方正书宋_GBK" w:eastAsia="黑体;方正黑体_GBK" w:cs="宋体;方正书宋_GBK"/>
          <w:sz w:val="18"/>
          <w:szCs w:val="18"/>
        </w:rPr>
      </w:pPr>
      <w:r>
        <w:rPr>
          <w:rFonts w:eastAsia="黑体;方正黑体_GBK" w:cs="宋体;方正书宋_GBK" w:ascii="宋体;方正书宋_GBK" w:hAnsi="宋体;方正书宋_GBK"/>
          <w:sz w:val="18"/>
          <w:szCs w:val="18"/>
        </w:rPr>
      </w:r>
    </w:p>
    <w:p>
      <w:pPr>
        <w:pStyle w:val="BodyTextIndent"/>
        <w:tabs>
          <w:tab w:val="clear" w:pos="420"/>
          <w:tab w:val="left" w:pos="910" w:leader="none"/>
        </w:tabs>
        <w:spacing w:lineRule="exact" w:line="300"/>
        <w:ind w:firstLine="420" w:end="0"/>
        <w:jc w:val="center"/>
        <w:rPr>
          <w:rFonts w:ascii="黑体;方正黑体_GBK" w:hAnsi="黑体;方正黑体_GBK" w:eastAsia="黑体;方正黑体_GBK" w:cs="仿宋_GB2312"/>
          <w:b w:val="false"/>
          <w:bCs/>
          <w:szCs w:val="21"/>
          <w:u w:val="wave"/>
        </w:rPr>
      </w:pPr>
      <w:r>
        <w:rPr>
          <w:rFonts w:ascii="黑体;方正黑体_GBK" w:hAnsi="黑体;方正黑体_GBK" w:cs="仿宋_GB2312" w:eastAsia="黑体;方正黑体_GBK"/>
          <w:szCs w:val="21"/>
          <w:u w:val="wave"/>
        </w:rPr>
        <w:t>风险提</w:t>
      </w:r>
      <w:r>
        <w:rPr>
          <w:rFonts w:ascii="黑体;方正黑体_GBK" w:hAnsi="黑体;方正黑体_GBK" w:cs="仿宋_GB2312" w:eastAsia="黑体;方正黑体_GBK"/>
          <w:szCs w:val="21"/>
          <w:u w:val="wave"/>
        </w:rPr>
        <w:t>示</w:t>
      </w:r>
      <w:r>
        <w:rPr>
          <w:rFonts w:ascii="黑体;方正黑体_GBK" w:hAnsi="黑体;方正黑体_GBK" w:cs="仿宋_GB2312" w:eastAsia="黑体;方正黑体_GBK"/>
          <w:szCs w:val="21"/>
          <w:u w:val="wave"/>
        </w:rPr>
      </w:r>
      <w:r>
        <w:rPr>
          <w:rFonts w:ascii="黑体;方正黑体_GBK" w:hAnsi="黑体;方正黑体_GBK" w:cs="仿宋_GB2312" w:eastAsia="黑体;方正黑体_GBK"/>
          <w:szCs w:val="21"/>
          <w:u w:val="wave"/>
        </w:rPr>
      </w:r>
      <w:r>
        <w:rPr>
          <w:rFonts w:ascii="黑体;方正黑体_GBK" w:hAnsi="黑体;方正黑体_GBK" w:cs="仿宋_GB2312" w:eastAsia="黑体;方正黑体_GBK"/>
          <w:szCs w:val="21"/>
          <w:u w:val="wave"/>
        </w:rPr>
      </w:r>
      <w:r>
        <w:rPr>
          <w:rFonts w:ascii="黑体;方正黑体_GBK" w:hAnsi="黑体;方正黑体_GBK" w:cs="仿宋_GB2312" w:eastAsia="黑体;方正黑体_GBK"/>
          <w:szCs w:val="21"/>
          <w:u w:val="wave"/>
        </w:rPr>
      </w:r>
    </w:p>
    <w:p>
      <w:pPr>
        <w:pStyle w:val="BodyTextIndent"/>
        <w:tabs>
          <w:tab w:val="clear" w:pos="420"/>
          <w:tab w:val="left" w:pos="910" w:leader="none"/>
        </w:tabs>
        <w:spacing w:lineRule="exact" w:line="300"/>
        <w:ind w:firstLine="357" w:end="0"/>
        <w:rPr>
          <w:rFonts w:ascii="宋体;方正书宋_GBK" w:hAnsi="宋体;方正书宋_GBK" w:eastAsia="宋体;方正书宋_GBK" w:cs="宋体;方正书宋_GBK"/>
          <w:b w:val="false"/>
          <w:bCs/>
          <w:sz w:val="18"/>
          <w:szCs w:val="18"/>
        </w:rPr>
      </w:pPr>
      <w:r>
        <w:rPr>
          <w:rFonts w:eastAsia="宋体;方正书宋_GBK" w:cs="宋体;方正书宋_GBK" w:ascii="宋体;方正书宋_GBK" w:hAnsi="宋体;方正书宋_GBK"/>
          <w:b w:val="false"/>
          <w:bCs/>
          <w:sz w:val="18"/>
          <w:szCs w:val="18"/>
        </w:rPr>
        <w:t>1.</w:t>
      </w:r>
      <w:r>
        <w:rPr>
          <w:rFonts w:ascii="宋体;方正书宋_GBK" w:hAnsi="宋体;方正书宋_GBK" w:cs="宋体;方正书宋_GBK" w:eastAsia="宋体;方正书宋_GBK"/>
          <w:b w:val="false"/>
          <w:bCs/>
          <w:sz w:val="18"/>
          <w:szCs w:val="18"/>
        </w:rPr>
        <w:t>定作多件商品或者对定作商品有更细致要求的，可另附清单作为合同附件，但其内容至少应包括本合同第一条所列举的项目和参数，以免产生消费纠纷。</w:t>
      </w:r>
    </w:p>
    <w:p>
      <w:pPr>
        <w:pStyle w:val="BodyTextIndent"/>
        <w:tabs>
          <w:tab w:val="clear" w:pos="420"/>
          <w:tab w:val="left" w:pos="910" w:leader="none"/>
        </w:tabs>
        <w:spacing w:lineRule="exact" w:line="300"/>
        <w:ind w:firstLine="357" w:end="0"/>
        <w:rPr>
          <w:rFonts w:ascii="宋体;方正书宋_GBK" w:hAnsi="宋体;方正书宋_GBK" w:eastAsia="宋体;方正书宋_GBK" w:cs="宋体;方正书宋_GBK"/>
          <w:b w:val="false"/>
          <w:bCs/>
          <w:sz w:val="18"/>
          <w:szCs w:val="18"/>
        </w:rPr>
      </w:pPr>
      <w:r>
        <w:rPr>
          <w:rFonts w:eastAsia="宋体;方正书宋_GBK" w:cs="宋体;方正书宋_GBK" w:ascii="宋体;方正书宋_GBK" w:hAnsi="宋体;方正书宋_GBK"/>
          <w:b w:val="false"/>
          <w:bCs/>
          <w:sz w:val="18"/>
          <w:szCs w:val="18"/>
        </w:rPr>
        <w:t>2.</w:t>
      </w:r>
      <w:r>
        <w:rPr>
          <w:rFonts w:ascii="宋体;方正书宋_GBK" w:hAnsi="宋体;方正书宋_GBK" w:cs="宋体;方正书宋_GBK" w:eastAsia="宋体;方正书宋_GBK"/>
          <w:b w:val="false"/>
          <w:bCs/>
          <w:sz w:val="18"/>
          <w:szCs w:val="18"/>
        </w:rPr>
        <w:t>定金是保证合同订立或履行的一种担保方式。交易双方可根据实际情况选择是否使用定金规则。请在支付定金前，充分了解“定金”的法律概念，知悉违约的法律后果。如不想接受定金规则约束，建议选择“一次性付款”或“先付预付款”的方式。</w:t>
      </w:r>
    </w:p>
    <w:p>
      <w:pPr>
        <w:pStyle w:val="BodyTextIndent"/>
        <w:tabs>
          <w:tab w:val="clear" w:pos="420"/>
          <w:tab w:val="left" w:pos="910" w:leader="none"/>
        </w:tabs>
        <w:spacing w:lineRule="exact" w:line="300"/>
        <w:ind w:firstLine="357" w:end="0"/>
        <w:rPr>
          <w:rFonts w:ascii="宋体;方正书宋_GBK" w:hAnsi="宋体;方正书宋_GBK" w:eastAsia="宋体;方正书宋_GBK" w:cs="宋体;方正书宋_GBK"/>
          <w:b w:val="false"/>
          <w:bCs/>
          <w:sz w:val="18"/>
          <w:szCs w:val="18"/>
        </w:rPr>
      </w:pPr>
      <w:r>
        <w:rPr>
          <w:rFonts w:eastAsia="宋体;方正书宋_GBK" w:cs="宋体;方正书宋_GBK" w:ascii="宋体;方正书宋_GBK" w:hAnsi="宋体;方正书宋_GBK"/>
          <w:b w:val="false"/>
          <w:bCs/>
          <w:sz w:val="18"/>
          <w:szCs w:val="18"/>
        </w:rPr>
        <w:t>3.</w:t>
      </w:r>
      <w:r>
        <w:rPr>
          <w:rFonts w:ascii="宋体;方正书宋_GBK" w:hAnsi="宋体;方正书宋_GBK" w:cs="宋体;方正书宋_GBK" w:eastAsia="宋体;方正书宋_GBK"/>
          <w:b w:val="false"/>
          <w:bCs/>
          <w:sz w:val="18"/>
          <w:szCs w:val="18"/>
        </w:rPr>
        <w:t>在签署合同前，交易双方应当仔细阅读“违约责任”有关条款，充分了解构成违约的情形和后果，在平等协商的基础上合理确定违约金比率。</w:t>
      </w:r>
    </w:p>
    <w:p>
      <w:pPr>
        <w:pStyle w:val="BodyTextIndent"/>
        <w:tabs>
          <w:tab w:val="clear" w:pos="420"/>
          <w:tab w:val="left" w:pos="910" w:leader="none"/>
        </w:tabs>
        <w:spacing w:lineRule="exact" w:line="300"/>
        <w:ind w:firstLine="357" w:end="0"/>
        <w:rPr>
          <w:rFonts w:ascii="宋体;方正书宋_GBK" w:hAnsi="宋体;方正书宋_GBK" w:eastAsia="宋体;方正书宋_GBK" w:cs="宋体;方正书宋_GBK"/>
          <w:b w:val="false"/>
          <w:bCs/>
          <w:sz w:val="18"/>
          <w:szCs w:val="18"/>
        </w:rPr>
      </w:pPr>
      <w:r>
        <w:rPr>
          <w:rFonts w:eastAsia="宋体;方正书宋_GBK" w:cs="宋体;方正书宋_GBK" w:ascii="宋体;方正书宋_GBK" w:hAnsi="宋体;方正书宋_GBK"/>
          <w:b w:val="false"/>
          <w:bCs/>
          <w:sz w:val="18"/>
          <w:szCs w:val="18"/>
        </w:rPr>
        <w:t>4.</w:t>
      </w:r>
      <w:r>
        <w:rPr>
          <w:rFonts w:ascii="宋体;方正书宋_GBK" w:hAnsi="宋体;方正书宋_GBK" w:cs="宋体;方正书宋_GBK" w:eastAsia="宋体;方正书宋_GBK"/>
          <w:b w:val="false"/>
          <w:bCs/>
          <w:sz w:val="18"/>
          <w:szCs w:val="18"/>
        </w:rPr>
        <w:t>请定作方注意留存发票、收据、合同等重要交易凭证和资料，作为将来主张权利的证据。</w:t>
      </w:r>
    </w:p>
    <w:p>
      <w:pPr>
        <w:pStyle w:val="BodyTextIndent"/>
        <w:tabs>
          <w:tab w:val="clear" w:pos="420"/>
          <w:tab w:val="left" w:pos="910" w:leader="none"/>
        </w:tabs>
        <w:spacing w:lineRule="exact" w:line="300"/>
        <w:ind w:firstLine="357" w:end="0"/>
        <w:rPr>
          <w:rFonts w:ascii="宋体;方正书宋_GBK" w:hAnsi="宋体;方正书宋_GBK" w:eastAsia="宋体;方正书宋_GBK" w:cs="宋体;方正书宋_GBK"/>
          <w:b w:val="false"/>
          <w:bCs/>
          <w:sz w:val="18"/>
          <w:szCs w:val="18"/>
        </w:rPr>
      </w:pPr>
      <w:r>
        <w:rPr>
          <w:rFonts w:eastAsia="宋体;方正书宋_GBK" w:cs="宋体;方正书宋_GBK" w:ascii="宋体;方正书宋_GBK" w:hAnsi="宋体;方正书宋_GBK"/>
          <w:b w:val="false"/>
          <w:bCs/>
          <w:sz w:val="18"/>
          <w:szCs w:val="18"/>
        </w:rPr>
        <w:t>5.</w:t>
      </w:r>
      <w:r>
        <w:rPr>
          <w:rFonts w:ascii="宋体;方正书宋_GBK" w:hAnsi="宋体;方正书宋_GBK" w:cs="宋体;方正书宋_GBK" w:eastAsia="宋体;方正书宋_GBK"/>
          <w:b w:val="false"/>
          <w:bCs/>
          <w:sz w:val="18"/>
          <w:szCs w:val="18"/>
        </w:rPr>
        <w:t>请在充分考量费用成本、时间成本等因素的基础上，审慎选择纠纷解决途径。</w:t>
      </w:r>
    </w:p>
    <w:p>
      <w:pPr>
        <w:pStyle w:val="BodyTextIndent"/>
        <w:tabs>
          <w:tab w:val="clear" w:pos="420"/>
          <w:tab w:val="left" w:pos="910" w:leader="none"/>
        </w:tabs>
        <w:spacing w:lineRule="exact" w:line="300"/>
        <w:ind w:firstLine="357" w:end="0"/>
        <w:rPr>
          <w:rFonts w:ascii="宋体;方正书宋_GBK" w:hAnsi="宋体;方正书宋_GBK" w:eastAsia="宋体;方正书宋_GBK" w:cs="宋体;方正书宋_GBK"/>
          <w:b w:val="false"/>
          <w:bCs/>
          <w:sz w:val="18"/>
          <w:szCs w:val="18"/>
        </w:rPr>
      </w:pPr>
      <w:r>
        <w:rPr>
          <w:rFonts w:eastAsia="宋体;方正书宋_GBK" w:cs="宋体;方正书宋_GBK" w:ascii="宋体;方正书宋_GBK" w:hAnsi="宋体;方正书宋_GBK"/>
          <w:b w:val="false"/>
          <w:bCs/>
          <w:sz w:val="18"/>
          <w:szCs w:val="18"/>
        </w:rPr>
        <w:t>6.</w:t>
      </w:r>
      <w:r>
        <w:rPr>
          <w:rFonts w:ascii="宋体;方正书宋_GBK" w:hAnsi="宋体;方正书宋_GBK" w:cs="宋体;方正书宋_GBK" w:eastAsia="宋体;方正书宋_GBK"/>
          <w:b w:val="false"/>
          <w:bCs/>
          <w:sz w:val="18"/>
          <w:szCs w:val="18"/>
        </w:rPr>
        <w:t>家居市场、展销会主办单位和其他主办单位在本合同中签章，目的在于证明本合同项下商品确为从本家居市场、展销会或其他主办单位处购买。定作方合法权益受到损害的，可按照通用条款中</w:t>
      </w:r>
      <w:r>
        <w:rPr>
          <w:rFonts w:ascii="黑体;方正黑体_GBK" w:hAnsi="黑体;方正黑体_GBK" w:cs="黑体;方正黑体_GBK" w:eastAsia="黑体;方正黑体_GBK"/>
          <w:bCs/>
          <w:sz w:val="18"/>
          <w:szCs w:val="18"/>
        </w:rPr>
        <w:t>“四、违约责任”</w:t>
      </w:r>
      <w:r>
        <w:rPr>
          <w:rFonts w:ascii="宋体;方正书宋_GBK" w:hAnsi="宋体;方正书宋_GBK" w:cs="宋体;方正书宋_GBK" w:eastAsia="宋体;方正书宋_GBK"/>
          <w:b w:val="false"/>
          <w:bCs/>
          <w:sz w:val="18"/>
          <w:szCs w:val="18"/>
        </w:rPr>
        <w:t>条款第五项请求家居市场、展销会主办单位先行赔偿。但法律另有规定或家居市场、展销会主办单位另外作出有利于买方承诺的，依照法律规定或其承诺执行。</w:t>
      </w:r>
    </w:p>
    <w:p>
      <w:pPr>
        <w:pStyle w:val="BodyTextIndent"/>
        <w:tabs>
          <w:tab w:val="clear" w:pos="420"/>
          <w:tab w:val="left" w:pos="910" w:leader="none"/>
        </w:tabs>
        <w:spacing w:lineRule="exact" w:line="300"/>
        <w:ind w:firstLine="357" w:end="0"/>
        <w:rPr>
          <w:rFonts w:ascii="宋体;方正书宋_GBK" w:hAnsi="宋体;方正书宋_GBK" w:eastAsia="宋体;方正书宋_GBK" w:cs="宋体;方正书宋_GBK"/>
          <w:b w:val="false"/>
          <w:bCs/>
          <w:sz w:val="18"/>
          <w:szCs w:val="18"/>
        </w:rPr>
      </w:pPr>
      <w:r>
        <w:rPr>
          <w:rFonts w:eastAsia="宋体;方正书宋_GBK" w:cs="宋体;方正书宋_GBK" w:ascii="宋体;方正书宋_GBK" w:hAnsi="宋体;方正书宋_GBK"/>
          <w:b w:val="false"/>
          <w:bCs/>
          <w:sz w:val="18"/>
          <w:szCs w:val="18"/>
        </w:rPr>
        <w:t>7.</w:t>
      </w:r>
      <w:r>
        <w:rPr>
          <w:rFonts w:ascii="宋体;方正书宋_GBK" w:hAnsi="宋体;方正书宋_GBK" w:cs="宋体;方正书宋_GBK" w:eastAsia="宋体;方正书宋_GBK"/>
          <w:b w:val="false"/>
          <w:bCs/>
          <w:sz w:val="18"/>
          <w:szCs w:val="18"/>
        </w:rPr>
        <w:t>目前无相关法律、法规明确规定家居定作商品的“三包”期限及其义务、责任内容，对此双方当事人可自行约定。</w:t>
      </w:r>
    </w:p>
    <w:p>
      <w:pPr>
        <w:pStyle w:val="BodyTextIndent"/>
        <w:tabs>
          <w:tab w:val="clear" w:pos="420"/>
          <w:tab w:val="left" w:pos="910" w:leader="none"/>
        </w:tabs>
        <w:spacing w:lineRule="exact" w:line="300"/>
        <w:ind w:firstLine="357" w:end="0"/>
        <w:rPr>
          <w:rFonts w:ascii="宋体;方正书宋_GBK" w:hAnsi="宋体;方正书宋_GBK" w:eastAsia="宋体;方正书宋_GBK" w:cs="宋体;方正书宋_GBK"/>
          <w:b w:val="false"/>
          <w:bCs/>
          <w:sz w:val="18"/>
          <w:szCs w:val="18"/>
        </w:rPr>
      </w:pPr>
      <w:r>
        <w:rPr>
          <w:rFonts w:eastAsia="宋体;方正书宋_GBK" w:cs="宋体;方正书宋_GBK" w:ascii="宋体;方正书宋_GBK" w:hAnsi="宋体;方正书宋_GBK"/>
          <w:b w:val="false"/>
          <w:bCs/>
          <w:sz w:val="18"/>
          <w:szCs w:val="18"/>
        </w:rPr>
        <w:t>8.</w:t>
      </w:r>
      <w:r>
        <w:rPr>
          <w:rFonts w:ascii="宋体;方正书宋_GBK" w:hAnsi="宋体;方正书宋_GBK" w:cs="宋体;方正书宋_GBK" w:eastAsia="宋体;方正书宋_GBK"/>
          <w:b w:val="false"/>
          <w:bCs/>
          <w:sz w:val="18"/>
          <w:szCs w:val="18"/>
        </w:rPr>
        <w:t>通用条款第三条第</w:t>
      </w:r>
      <w:r>
        <w:rPr>
          <w:rFonts w:eastAsia="宋体;方正书宋_GBK" w:cs="宋体;方正书宋_GBK" w:ascii="宋体;方正书宋_GBK" w:hAnsi="宋体;方正书宋_GBK"/>
          <w:b w:val="false"/>
          <w:bCs/>
          <w:sz w:val="18"/>
          <w:szCs w:val="18"/>
        </w:rPr>
        <w:t>5</w:t>
      </w:r>
      <w:r>
        <w:rPr>
          <w:rFonts w:ascii="宋体;方正书宋_GBK" w:hAnsi="宋体;方正书宋_GBK" w:cs="宋体;方正书宋_GBK" w:eastAsia="宋体;方正书宋_GBK"/>
          <w:b w:val="false"/>
          <w:bCs/>
          <w:sz w:val="18"/>
          <w:szCs w:val="18"/>
        </w:rPr>
        <w:t>项中的“必要的技术资料、有关质量证明文件和使用说明文件”为列举方式，承揽方只需提供其中之一，足以证明产品质量合格即可。</w:t>
      </w:r>
    </w:p>
    <w:p>
      <w:pPr>
        <w:pStyle w:val="BodyTextIndent"/>
        <w:tabs>
          <w:tab w:val="clear" w:pos="420"/>
          <w:tab w:val="left" w:pos="910" w:leader="none"/>
        </w:tabs>
        <w:spacing w:lineRule="exact" w:line="300"/>
        <w:ind w:hanging="0" w:end="0"/>
        <w:jc w:val="center"/>
        <w:rPr>
          <w:lang w:eastAsia="zh-CN"/>
        </w:rPr>
      </w:pPr>
      <w:r>
        <w:rPr>
          <w:lang w:eastAsia="zh-CN"/>
        </w:rPr>
        <w:t>{北京市工商行政管理局} {天津市市场和质量监督管理委员会} {河北省工商行政管理局} 制定</w:t>
      </w:r>
    </w:p>
    <w:sectPr>
      <w:type w:val="nextPage"/>
      <w:pgSz w:w="11906" w:h="16838"/>
      <w:pgMar w:left="510" w:right="510" w:gutter="0" w:header="0" w:top="567" w:footer="0" w:bottom="510"/>
      <w:pgNumType w:fmt="decimal"/>
      <w:formProt w:val="false"/>
      <w:textDirection w:val="lrTb"/>
      <w:docGrid w:type="linesAndChars" w:linePitch="423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等线">
    <w:altName w:val="汉仪中宋简"/>
    <w:charset w:val="86"/>
    <w:family w:val="auto"/>
    <w:pitch w:val="default"/>
  </w:font>
  <w:font w:name="方正宋三简体">
    <w:altName w:val="方正书宋_GBK"/>
    <w:charset w:val="00" w:characterSet="windows-125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黑体">
    <w:altName w:val="方正黑体_GBK"/>
    <w:charset w:val="00" w:characterSet="windows-1252"/>
    <w:family w:val="auto"/>
    <w:pitch w:val="default"/>
  </w:font>
  <w:font w:name="宋体">
    <w:altName w:val="方正书宋_GBK"/>
    <w:charset w:val="00" w:characterSet="windows-1252"/>
    <w:family w:val="auto"/>
    <w:pitch w:val="default"/>
  </w:font>
</w:fonts>
</file>

<file path=word/settings.xml><?xml version="1.0" encoding="utf-8"?>
<w:settings xmlns:w="http://schemas.openxmlformats.org/wordprocessingml/2006/main">
  <w:zoom w:percent="140"/>
  <w:defaultTabStop w:val="420"/>
  <w:autoHyphenation w:val="true"/>
  <w:hyphenationZone w:val="0"/>
  <w:compat>
    <w:doNotExpandShiftReturn/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华文宋体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等线;汉仪中宋简" w:hAnsi="等线;汉仪中宋简" w:eastAsia="等线;汉仪中宋简" w:cs="Times New Roman;DejaVu Sans"/>
      <w:color w:val="auto"/>
      <w:kern w:val="2"/>
      <w:sz w:val="24"/>
      <w:szCs w:val="24"/>
      <w:lang w:val="en-US" w:eastAsia="zh-CN" w:bidi="ar-SA"/>
    </w:rPr>
  </w:style>
  <w:style w:type="character" w:styleId="Style14">
    <w:name w:val="默认段落字体"/>
    <w:qFormat/>
    <w:rPr/>
  </w:style>
  <w:style w:type="character" w:styleId="CharChar">
    <w:name w:val=" Char Char"/>
    <w:qFormat/>
    <w:rPr>
      <w:rFonts w:ascii="方正宋三简体;方正书宋_GBK" w:hAnsi="方正宋三简体;方正书宋_GBK" w:eastAsia="方正宋三简体;方正书宋_GBK"/>
      <w:b/>
      <w:sz w:val="21"/>
      <w:lang w:bidi="ar-SA"/>
    </w:rPr>
  </w:style>
  <w:style w:type="character" w:styleId="PageNumber">
    <w:name w:val="page number"/>
    <w:basedOn w:val="Style14"/>
    <w:rPr/>
  </w:style>
  <w:style w:type="character" w:styleId="CharChar5">
    <w:name w:val=" Char Char5"/>
    <w:qFormat/>
    <w:rPr>
      <w:rFonts w:ascii="方正宋三简体;方正书宋_GBK" w:hAnsi="方正宋三简体;方正书宋_GBK" w:eastAsia="方正宋三简体;方正书宋_GBK" w:cs="Times New Roman;DejaVu Sans"/>
      <w:b/>
      <w:sz w:val="21"/>
      <w:szCs w:val="20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BodyTextIndent">
    <w:name w:val="Body Text Indent"/>
    <w:basedOn w:val="Normal"/>
    <w:pPr>
      <w:spacing w:lineRule="exact" w:line="520"/>
      <w:ind w:firstLine="435" w:start="0" w:end="0"/>
    </w:pPr>
    <w:rPr>
      <w:rFonts w:ascii="方正宋三简体;方正书宋_GBK" w:hAnsi="方正宋三简体;方正书宋_GBK" w:eastAsia="方正宋三简体;方正书宋_GBK" w:cs="Times New Roman;DejaVu Sans"/>
      <w:b/>
      <w:kern w:val="0"/>
      <w:sz w:val="21"/>
      <w:szCs w:val="20"/>
      <w:lang w:val="zh-CN" w:eastAsia="zh-CN"/>
    </w:rPr>
  </w:style>
  <w:style w:type="paragraph" w:styleId="Style15">
    <w:name w:val="批注框文本"/>
    <w:basedOn w:val="Normal"/>
    <w:qFormat/>
    <w:pPr/>
    <w:rPr>
      <w:sz w:val="18"/>
      <w:szCs w:val="18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start"/>
    </w:pPr>
    <w:rPr>
      <w:sz w:val="18"/>
      <w:szCs w:val="1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480</TotalTime>
  <Application>LibreOffice/25.2.2.2$MacOSX_AARCH64 LibreOffice_project/7370d4be9e3cf6031a51beef54ff3bda878e3fac</Application>
  <AppVersion>15.0000</AppVersion>
  <Pages>4</Pages>
  <Words>3130</Words>
  <Characters>3179</Characters>
  <CharactersWithSpaces>3827</CharactersWithSpaces>
  <Paragraphs>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2018-06-22T18:37:00Z</dcterms:created>
  <dc:creator> </dc:creator>
  <dc:description/>
  <dc:language>zh-CN</dc:language>
  <cp:lastModifiedBy>scjgj</cp:lastModifiedBy>
  <cp:lastPrinted>2018-06-22T11:08:00Z</cp:lastPrinted>
  <dcterms:modified xsi:type="dcterms:W3CDTF">2023-11-02T01:30:49Z</dcterms:modified>
  <cp:revision>8</cp:revision>
  <dc:subject/>
  <dc:title>《北京市家具买卖合同》修订说明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2052-11.8.2.10386</vt:lpwstr>
  </property>
</Properties>
</file>