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 w:eastAsia="仿宋" w:cs="Cambria"/>
          <w:b/>
          <w:sz w:val="28"/>
          <w:szCs w:val="28"/>
        </w:rPr>
      </w:pPr>
      <w:r>
        <w:rPr>
          <w:rFonts w:eastAsia="仿宋" w:cs="Cambria" w:ascii="Cambria" w:hAnsi="Cambria"/>
          <w:b/>
          <w:bCs/>
          <w:sz w:val="28"/>
          <w:szCs w:val="28"/>
        </w:rPr>
        <w:t>WF—2014—003</w:t>
      </w:r>
    </w:p>
    <w:p>
      <w:pPr>
        <w:pStyle w:val="Normal"/>
        <w:ind w:firstLine="482" w:end="0"/>
        <w:rPr>
          <w:rFonts w:ascii="仿宋" w:hAnsi="仿宋" w:eastAsia="仿宋" w:cs="仿宋"/>
          <w:b/>
          <w:sz w:val="24"/>
          <w:szCs w:val="28"/>
        </w:rPr>
      </w:pPr>
      <w:r>
        <w:rPr>
          <w:rFonts w:eastAsia="仿宋" w:cs="仿宋" w:ascii="仿宋" w:hAnsi="仿宋"/>
          <w:b/>
          <w:sz w:val="24"/>
          <w:szCs w:val="28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安徽省茶叶买卖合同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楷体_GBK" w:cs="方正楷体_GBK" w:ascii="方正楷体_GBK" w:hAnsi="方正楷体_GBK"/>
          <w:sz w:val="28"/>
          <w:szCs w:val="28"/>
          <w:lang w:eastAsia="zh-CN"/>
        </w:rPr>
        <w:t>(</w:t>
      </w: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示范文本</w:t>
      </w:r>
      <w:r>
        <w:rPr>
          <w:rFonts w:eastAsia="方正楷体_GBK" w:cs="方正楷体_GBK" w:ascii="方正楷体_GBK" w:hAnsi="方正楷体_GBK"/>
          <w:sz w:val="28"/>
          <w:szCs w:val="28"/>
          <w:lang w:eastAsia="zh-CN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7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合同编号：{合同编号}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7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</w:t>
      </w:r>
      <w:r>
        <w:rPr>
          <w:rFonts w:eastAsia="方正书宋_GBK" w:cs="方正书宋_GBK" w:ascii="方正书宋_GBK" w:hAnsi="方正书宋_GBK"/>
          <w:sz w:val="22"/>
          <w:szCs w:val="22"/>
        </w:rPr>
        <w:t>: {签订地点}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both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{甲方（出卖人）}：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both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both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{乙方（买受人）}：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仿宋" w:hAnsi="仿宋" w:eastAsia="仿宋" w:cs="仿宋"/>
          <w:sz w:val="24"/>
          <w:szCs w:val="22"/>
        </w:rPr>
      </w:pPr>
      <w:r>
        <w:rPr>
          <w:rFonts w:eastAsia="仿宋" w:cs="仿宋" w:ascii="仿宋" w:hAnsi="仿宋"/>
          <w:sz w:val="24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根据《中华人民共和国合同法》、《中华人民共和国农产品质量安全法》及相关法律法规规定，经甲乙双方充分协商，订立本合同。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b/>
          <w:bCs/>
          <w:sz w:val="24"/>
        </w:rPr>
      </w:pPr>
      <w:r>
        <w:rPr>
          <w:rFonts w:ascii="仿宋" w:hAnsi="仿宋" w:cs="仿宋" w:eastAsia="仿宋"/>
          <w:b/>
          <w:bCs/>
          <w:sz w:val="24"/>
          <w:szCs w:val="22"/>
        </w:rPr>
        <w:t>第一条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仿宋" w:hAnsi="仿宋" w:cs="仿宋" w:eastAsia="仿宋"/>
          <w:b/>
          <w:bCs/>
          <w:sz w:val="24"/>
          <w:szCs w:val="22"/>
        </w:rPr>
        <w:t>{标的及交（提）货时间}</w:t>
      </w:r>
    </w:p>
    <w:tbl>
      <w:tblPr>
        <w:tblW w:w="858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4"/>
        <w:gridCol w:w="842"/>
        <w:gridCol w:w="722"/>
        <w:gridCol w:w="1074"/>
        <w:gridCol w:w="936"/>
        <w:gridCol w:w="1230"/>
        <w:gridCol w:w="1800"/>
        <w:gridCol w:w="913"/>
      </w:tblGrid>
      <w:tr>
        <w:trPr>
          <w:trHeight w:val="770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单位</w:t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单价（元）</w:t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金额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交（提）货时间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596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04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6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</w:t>
            </w:r>
          </w:p>
        </w:tc>
      </w:tr>
      <w:tr>
        <w:trPr>
          <w:trHeight w:val="462" w:hRule="atLeast"/>
        </w:trPr>
        <w:tc>
          <w:tcPr>
            <w:tcW w:w="858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36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合计人民币金额（大写）：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lang w:val="en-US" w:eastAsia="zh-CN"/>
              </w:rPr>
              <w:t xml:space="preserve">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             （￥        元）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仿宋" w:hAnsi="仿宋" w:cs="仿宋" w:eastAsia="仿宋"/>
          <w:b w:val="false"/>
          <w:bCs w:val="false"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质量要求：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、内在质量：茶叶符合各等级茶叶标准、符合《农产品质量安全法》的要求。双方应将样品封存保管，用于验收。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、外观质量：按{样本}提供的外观包装和设计。不退色、不沾污染物、光泽干净，整洁。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、其他要求：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{其他要求}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第三条 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交（提）货地点、方式：{交（提）货地点}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）甲方送货到指定地点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{指定地点}并</w:t>
      </w:r>
      <w:r>
        <w:rPr>
          <w:rFonts w:ascii="方正书宋_GBK" w:hAnsi="方正书宋_GBK" w:cs="方正书宋_GBK" w:eastAsia="方正书宋_GBK"/>
          <w:sz w:val="22"/>
          <w:szCs w:val="22"/>
        </w:rPr>
        <w:t>承担运费；（2</w:t>
      </w:r>
      <w:r>
        <w:rPr>
          <w:rFonts w:eastAsia="方正书宋_GBK" w:cs="方正书宋_GBK" w:ascii="方正书宋_GBK" w:hAnsi="方正书宋_GBK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乙方自提；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）其他方式：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{其他方式}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第四条 </w:t>
      </w: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验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收方式：{验收方式}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按质量要求抽样验收，如有异议，乙方应在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{天数}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天内书面提出。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b/>
          <w:bCs/>
          <w:sz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仿宋" w:hAnsi="仿宋" w:cs="仿宋" w:eastAsia="仿宋"/>
          <w:b/>
          <w:bCs/>
          <w:sz w:val="24"/>
        </w:rPr>
        <w:t xml:space="preserve"> 结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算方式：{结算方式}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仿宋" w:hAnsi="仿宋" w:eastAsia="仿宋" w:cs="仿宋"/>
          <w:b/>
          <w:bCs/>
          <w:sz w:val="24"/>
        </w:rPr>
      </w:pPr>
      <w:r>
        <w:rPr>
          <w:rFonts w:ascii="仿宋" w:hAnsi="仿宋" w:cs="仿宋" w:eastAsia="仿宋"/>
          <w:sz w:val="24"/>
          <w:u w:val="single"/>
        </w:rPr>
        <w:t>请提供需要修改的文本，我将根据要求进行处理。</w:t>
      </w:r>
      <w:r>
        <w:rPr>
          <w:rFonts w:ascii="仿宋" w:hAnsi="仿宋" w:cs="仿宋" w:eastAsia="仿宋"/>
          <w:bCs/>
          <w:sz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第六条 </w:t>
      </w:r>
      <w:r>
        <w:rPr>
          <w:rFonts w:ascii="仿宋" w:hAnsi="仿宋" w:cs="仿宋" w:eastAsia="仿宋"/>
          <w:b/>
          <w:bCs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、任何一方迟延交货或迟延支付购货款，应当每日按照迟延部分价款的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违约金比例}%标准向对方支付违约金。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、一方如不履约或部分履约，应支付未履行价值的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>{违约金比例}%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作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为违约金。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、甲方如茶叶质量有问题，乙方有权拒收或要求补足、换货或退货；甲方承担违约责任，赔偿由此而造成的损失。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仿宋" w:hAnsi="仿宋" w:cs="仿宋" w:eastAsia="仿宋"/>
          <w:b/>
          <w:bCs/>
          <w:sz w:val="24"/>
        </w:rPr>
        <w:t xml:space="preserve"> 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争议解决方式：{争议解决方式}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本合同在履行过程中发生的争议，由双方当事人协商解决，也可由当地有关部门进行调解；协商或调解不成的，按下列第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>{争议解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决方式}种方式解决。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）提交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 xml:space="preserve"> {仲裁委员会} 仲裁。（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2）依法向 {人民</w:t>
      </w: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  <w:t>法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院} 起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>诉。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仿宋" w:hAnsi="仿宋" w:eastAsia="仿宋" w:cs="仿宋"/>
          <w:b/>
          <w:sz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第八条 </w:t>
      </w:r>
      <w:r>
        <w:rPr>
          <w:rFonts w:ascii="仿宋" w:hAnsi="仿宋" w:cs="仿宋" w:eastAsia="仿宋"/>
          <w:b/>
          <w:sz w:val="24"/>
        </w:rPr>
        <w:t xml:space="preserve"> 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其他约定事项：{其他约定事项内容}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80" w:end="0"/>
        <w:textAlignment w:val="auto"/>
        <w:rPr>
          <w:rFonts w:ascii="仿宋" w:hAnsi="仿宋" w:eastAsia="仿宋" w:cs="仿宋"/>
          <w:sz w:val="24"/>
        </w:rPr>
      </w:pPr>
      <w:r>
        <w:rPr>
          <w:rFonts w:ascii="仿宋" w:hAnsi="仿宋" w:cs="仿宋" w:eastAsia="仿宋"/>
          <w:sz w:val="24"/>
          <w:u w:val="single"/>
        </w:rPr>
        <w:t>}</w:t>
      </w:r>
      <w:r>
        <w:rPr>
          <w:rFonts w:ascii="仿宋" w:hAnsi="仿宋" w:cs="仿宋" w:eastAsia="仿宋"/>
          <w:sz w:val="24"/>
          <w:u w:val="single"/>
        </w:rPr>
      </w:r>
      <w:r>
        <w:rPr>
          <w:rFonts w:ascii="仿宋" w:hAnsi="仿宋" w:cs="仿宋" w:eastAsia="仿宋"/>
          <w:sz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本合同一式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>{{份数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}}份，双方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  <w:u w:val="single"/>
        </w:rPr>
        <w:t>各执{{</w:t>
      </w: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份数}}份，合同自双方签字盖章后生效。合同内容如有变更，应当采用书面形式作为本合同的附件；附件与本合同具有同等法律效力。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 w:val="false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{甲方（章）}                                     {乙方（章）}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法定代表人（或负责人）：{法定代表人}  </w:t>
        <w:br/>
        <w:t>法定代表人（或负责人）：{法定代表人}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委托代表人：{委托代表人}  </w:t>
        <w:br/>
        <w:t>委托代表人：{委托代表人}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帐    号：{帐号}             帐    号：{帐号}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电    话：{联系电话}  </w:t>
        <w:br/>
        <w:t>电    话：{联系电话}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邮政编码：{邮政编码}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>签订时间：{签订时间}                      签订时间：{签订时间}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 w:val="false"/>
          <w:bCs w:val="false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bCs w:val="false"/>
          <w:sz w:val="22"/>
          <w:szCs w:val="22"/>
        </w:rPr>
        <w:t xml:space="preserve">                     </w:t>
      </w:r>
    </w:p>
    <w:p>
      <w:pPr>
        <w:pStyle w:val="Normal"/>
        <w:rPr>
          <w:rFonts w:ascii="仿宋" w:hAnsi="仿宋" w:eastAsia="仿宋" w:cs="仿宋"/>
          <w:b w:val="false"/>
          <w:bCs w:val="false"/>
          <w:sz w:val="24"/>
          <w:szCs w:val="22"/>
        </w:rPr>
      </w:pPr>
      <w:r>
        <w:rPr>
          <w:rFonts w:eastAsia="仿宋" w:cs="仿宋" w:ascii="仿宋" w:hAnsi="仿宋"/>
          <w:b w:val="false"/>
          <w:bCs w:val="false"/>
          <w:sz w:val="24"/>
          <w:szCs w:val="22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Segoe Print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ambria">
    <w:charset w:val="00" w:characterSet="windows-1252"/>
    <w:family w:val="auto"/>
    <w:pitch w:val="default"/>
  </w:font>
  <w:font w:name="仿宋"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Segoe Print" w:hAnsi="Times New Roman;Segoe Print" w:eastAsia="宋体" w:cs="Times New Roman;Segoe Print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2014-05-27T14:48:00Z</dcterms:created>
  <dc:creator>Administrator</dc:creator>
  <dc:description/>
  <dc:language>zh-CN</dc:language>
  <cp:lastModifiedBy>赵军</cp:lastModifiedBy>
  <cp:lastPrinted>2014-06-10T15:09:00Z</cp:lastPrinted>
  <dcterms:modified xsi:type="dcterms:W3CDTF">2022-02-18T15:25:43Z</dcterms:modified>
  <cp:revision>11</cp:revision>
  <dc:subject/>
  <dc:title>WF—2014—003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50AB4E6354B74A4D8CB8A0D0CAADBB5B</vt:lpwstr>
  </property>
  <property fmtid="{D5CDD505-2E9C-101B-9397-08002B2CF9AE}" pid="3" name="KSOProductBuildVer">
    <vt:lpwstr>2052-11.1.0.11294</vt:lpwstr>
  </property>
</Properties>
</file>