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sz w:val="40"/>
          <w:szCs w:val="40"/>
        </w:rPr>
        <w:t>安徽省蚕茧养殖收购合同</w:t>
      </w:r>
    </w:p>
    <w:p>
      <w:pPr>
        <w:jc w:val="center"/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sz w:val="28"/>
          <w:szCs w:val="28"/>
          <w:lang w:val="en-US" w:eastAsia="zh-CN"/>
        </w:rPr>
        <w:t>示范文本</w:t>
      </w:r>
      <w:r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  <w:t>）</w:t>
      </w:r>
    </w:p>
    <w:p>
      <w:pPr>
        <w:jc w:val="center"/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收购方（甲方）：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{收购方名称}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合同编号：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合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同编号}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940" w:firstLineChars="27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签订地点：{签订地点}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{养殖方（乙方）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}：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{乡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镇）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}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{村}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{养殖户}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为促进订单农业健康发展，维护农户与蚕茧企业的合法权益，依据《中华人民共和国合同法》等相关法律法规的规定，经双方协商一致，订立本合同。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第一条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{蚕茧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>养殖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及收购数量}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春茧饲养蚕种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{春茧饲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养蚕种数量}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张，中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秋茧饲养蚕种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{中秋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茧饲养蚕种数量}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张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，晚秋茧饲养蚕种       {晚秋茧饲养蚕种数量}       张（每张蚕种单产以       {单产标准}       公斤为标准）。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第二条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 xml:space="preserve">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{质量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>要求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及价格}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l、蚕茧全化蛹、符合质量标准： {待填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写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内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容} 。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none"/>
          <w:lang w:eastAsia="zh-CN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2、其他要求：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其他要求}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请提供需要修改的文本，我将根据要求进行处理。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none"/>
          <w:lang w:eastAsia="zh-CN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3、收购价按下列第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{选项}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  项执行。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(1)价格由同期市场行情决定，在蚕茧畅销时，价格随行就市，在{价格区间}内协商确定。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蚕茧滞销时，实行保护价收购。(2)上车率达85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- 8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9%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的全部化蛹茧按每市斤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{收购单价}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元收购；上车率低于85%的每下3个点降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{降价金额}元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每担收购。(3)茧层含水率在18%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-20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%，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价格不升不降；茧层含水率在20%以上，降{含水率超标降价金额}元每担收购；茧层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含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水率在18%以下，升{含水率不足涨价金额}元每担收购。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第三条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 xml:space="preserve"> 甲方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的责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任和义务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l、甲方负责做好蚕桑技术服务，让乙方接受产前、产中、产后的技术指导和服务。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2、以市场经济为导向，认真执行“优质优价，劣质低价”的茧价政策，“价高随行就市，价低{补偿保护}”，全额收购乙方养殖的蚕茧。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3、为乙方提供管理、信息服务，代购优良桑、蚕品种。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4、扶持乙方发展{蚕桑生产}。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第四条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{责任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和义务}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l、服从甲方提出的蚕桑技术指导，严格采取消毒、防病措施，努力提高蚕茧质量。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2、四眠以后要添食灭蚕蝇，一般不少于{次数}次以减少{蛆孔茧的发生}。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使用防茧病药物，防止茧病发生。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3、上簇后要开启门窗通风排湿。适时采茧要待蚕茧化蛹后采茧，不能采下茧后等化蛹。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4、乙方养殖的蚕茧应按合同约定全部销售给甲方。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第五条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 xml:space="preserve"> 交（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>提）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货地点、方式、{时间}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l、交（提）货地点、方式：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{交货地点}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(1)乙方送货到甲方指定地点{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提货地址}；(2)甲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方自提。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2、春茧交（提）货时间为 {年1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} {月1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{日1}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左右；中秋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茧交（提）货时间为 {年2}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{月2}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日2} 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；晚秋茧交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（提）货时间为 {年3} {月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3} {日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} 左右。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第六条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货款结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>算方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式：{结算方式}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1、现金结算，在蚕茧收购结束{天数}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天内一次性结清。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2、其他方式结算：{其他方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式内容}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第七条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违约责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>任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1、甲方因技术指导失误或未尽到第三条{责任和义务}，造成乙方损失的，应当赔偿乙方实际损失。乙方未按甲方的技术指导要求或未按第四条要求进行养殖，造成损失的，由乙方自行承担。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2、甲方在蚕茧收购期内未按合同收购蚕茧的，应按未收购部分的每张蚕种{赔偿金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额1}元赔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偿给乙方；乙方在蚕茧收购期内自行出售或不肯出售给甲方的，应按自行出售或不肯出售部分的每张蚕种{赔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偿金额2}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元赔偿给甲方。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3、乙方如不执行合同，除应承担违约责任外，还将取消以后签订订单的资格。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第八条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 xml:space="preserve"> 争议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>解决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本合同在履行过程中发生的争议，由双方当事人协商解决或申请调解。协商或调解不成的，按下列第{争议解决方式}种方式解决。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(1)提交{仲裁方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式}仲裁委员会仲裁。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(2)依法向 {人民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>法院} 起诉。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第九条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 xml:space="preserve"> 本协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  <w:lang w:val="en-US" w:eastAsia="zh-CN"/>
        </w:rPr>
        <w:t>议一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式两份，甲、乙双方各执一份，合同自双方{签字盖章}后生效。合同内容如有变更，应当经双方协商一致，采用书面形式作为本合同的附件；附件与本合同具有同等法律效力。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bookmarkStart w:id="0" w:name="_GoBack"/>
      <w:bookmarkEnd w:id="0"/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{甲方（签字盖章）}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{乙方（签字盖章）}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住所：{住所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}  </w:t>
        <w:br/>
        <w:t>住所：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法定代表人（或负责人）：{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法定代表人}  </w:t>
        <w:br/>
        <w:t>居民身份证号码：{居民身份证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号码}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委托代表人：{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委托代表人}  </w:t>
        <w:br/>
        <w:t>委托代表人：{委托代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表人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开户银行：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{开户银行}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帐  号：{帐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号}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  话：{联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系电话}  </w:t>
        <w:br/>
        <w:t>电  话：{联系电话}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邮政编码：{邮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政编码}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签订时间：{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签订时间}  </w:t>
        <w:br/>
        <w:t>签订时间：{签订时间}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F32C4"/>
    <w:rsid w:val="000A6ED8"/>
    <w:rsid w:val="238C0D3F"/>
    <w:rsid w:val="52026AB7"/>
    <w:rsid w:val="5EF17A40"/>
    <w:rsid w:val="610F32C4"/>
    <w:rsid w:val="6E4B4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1269</Words>
  <Characters>1305</Characters>
  <Lines>0</Lines>
  <Paragraphs>0</Paragraphs>
  <TotalTime>8</TotalTime>
  <ScaleCrop>false</ScaleCrop>
  <LinksUpToDate>false</LinksUpToDate>
  <CharactersWithSpaces>2218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2022-02-18T03:15:00Z</dcterms:created>
  <dc:creator>赵军</dc:creator>
  <cp:lastModifiedBy>赵军</cp:lastModifiedBy>
  <dcterms:modified xsi:type="dcterms:W3CDTF">2022-02-18T08:17:56Z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31051FFA3CB347B697D5770FC981C849</vt:lpwstr>
  </property>
</Properties>
</file>