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eastAsia="方正楷体_GBK"/>
          <w:sz w:val="32"/>
          <w:szCs w:val="32"/>
        </w:rPr>
      </w:pPr>
      <w:r>
        <w:rPr>
          <w:rFonts w:eastAsia="方正楷体_GBK"/>
          <w:sz w:val="28"/>
          <w:szCs w:val="28"/>
          <w:lang w:bidi="ar"/>
        </w:rPr>
        <w:t xml:space="preserve">JSF-2022-01         </w:t>
      </w:r>
      <w:r>
        <w:rPr>
          <w:rFonts w:eastAsia="方正楷体_GBK"/>
          <w:sz w:val="32"/>
          <w:szCs w:val="32"/>
          <w:lang w:bidi="ar"/>
        </w:rPr>
        <w:t xml:space="preserve">       </w:t>
      </w:r>
      <w:r>
        <w:rPr>
          <w:rFonts w:eastAsia="方正楷体_GBK"/>
          <w:sz w:val="28"/>
          <w:szCs w:val="28"/>
          <w:lang w:bidi="ar"/>
        </w:rPr>
        <w:t xml:space="preserve">       </w:t>
      </w:r>
      <w:r>
        <w:rPr>
          <w:rFonts w:eastAsia="方正楷体_GBK"/>
          <w:sz w:val="28"/>
          <w:szCs w:val="28"/>
          <w:lang w:bidi="ar"/>
        </w:rPr>
        <w:t>合同编号：{合同编号}</w:t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800"/>
        <w:jc w:val="center"/>
        <w:rPr>
          <w:rFonts w:eastAsia="方正小标宋_GBK"/>
          <w:color w:val="000000"/>
          <w:sz w:val="40"/>
          <w:szCs w:val="40"/>
        </w:rPr>
      </w:pPr>
      <w:r>
        <w:rPr>
          <w:rFonts w:eastAsia="方正小标宋_GBK"/>
          <w:color w:val="000000"/>
          <w:sz w:val="40"/>
          <w:szCs w:val="40"/>
          <w:lang w:bidi="ar"/>
        </w:rPr>
        <w:t>江苏省单用途预付卡购卡合同</w:t>
      </w:r>
    </w:p>
    <w:p>
      <w:pPr>
        <w:pStyle w:val="Normal"/>
        <w:spacing w:lineRule="exact" w:line="800"/>
        <w:jc w:val="center"/>
        <w:rPr>
          <w:rFonts w:eastAsia="方正小标宋_GBK"/>
          <w:color w:val="000000"/>
          <w:sz w:val="40"/>
          <w:szCs w:val="40"/>
        </w:rPr>
      </w:pPr>
      <w:r>
        <w:rPr>
          <w:rFonts w:eastAsia="方正小标宋_GBK"/>
          <w:color w:val="000000"/>
          <w:sz w:val="40"/>
          <w:szCs w:val="40"/>
          <w:lang w:bidi="ar"/>
        </w:rPr>
        <w:t>（示范文本）</w:t>
      </w:r>
    </w:p>
    <w:p>
      <w:pPr>
        <w:pStyle w:val="Normal"/>
        <w:spacing w:lineRule="exact" w:line="580"/>
        <w:ind w:firstLine="1019" w:end="0"/>
        <w:rPr>
          <w:rFonts w:eastAsia="仿宋"/>
          <w:color w:val="000000"/>
          <w:sz w:val="52"/>
          <w:szCs w:val="52"/>
        </w:rPr>
      </w:pPr>
      <w:r>
        <w:rPr>
          <w:rFonts w:eastAsia="仿宋"/>
          <w:color w:val="000000"/>
          <w:sz w:val="52"/>
          <w:szCs w:val="52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ind w:firstLine="2268" w:end="0"/>
        <w:rPr>
          <w:rFonts w:eastAsia="方正楷体_GBK"/>
          <w:b/>
          <w:spacing w:val="-6"/>
          <w:sz w:val="28"/>
          <w:szCs w:val="28"/>
          <w:lang w:val="en"/>
        </w:rPr>
      </w:pPr>
      <w:r>
        <w:rPr>
          <w:rFonts w:eastAsia="方正楷体_GBK"/>
          <w:bCs/>
          <w:spacing w:val="-6"/>
          <w:w w:val="120"/>
          <w:sz w:val="28"/>
          <w:szCs w:val="28"/>
          <w:lang w:val="en"/>
        </w:rPr>
        <w:t>江</w:t>
      </w:r>
      <w:r>
        <w:rPr>
          <w:rFonts w:eastAsia="Times New Roman"/>
          <w:bCs/>
          <w:spacing w:val="-6"/>
          <w:w w:val="120"/>
          <w:sz w:val="28"/>
          <w:szCs w:val="28"/>
        </w:rPr>
        <w:t>苏</w:t>
      </w:r>
      <w:r>
        <w:rPr>
          <w:rFonts w:eastAsia="方正楷体_GBK"/>
          <w:bCs/>
          <w:spacing w:val="-6"/>
          <w:w w:val="120"/>
          <w:sz w:val="28"/>
          <w:szCs w:val="28"/>
          <w:lang w:val="en"/>
        </w:rPr>
        <w:t>省</w:t>
      </w:r>
      <w:r>
        <w:rPr>
          <w:rFonts w:eastAsia="Times New Roman"/>
          <w:bCs/>
          <w:spacing w:val="-6"/>
          <w:w w:val="120"/>
          <w:sz w:val="28"/>
          <w:szCs w:val="28"/>
        </w:rPr>
        <w:t>商</w:t>
      </w:r>
      <w:r>
        <w:rPr>
          <w:rFonts w:eastAsia="方正楷体_GBK"/>
          <w:bCs/>
          <w:spacing w:val="-6"/>
          <w:w w:val="120"/>
          <w:sz w:val="28"/>
          <w:szCs w:val="28"/>
          <w:lang w:val="en"/>
        </w:rPr>
        <w:t>务</w:t>
      </w:r>
      <w:r>
        <w:rPr>
          <w:rFonts w:eastAsia="Times New Roman"/>
          <w:bCs/>
          <w:spacing w:val="-6"/>
          <w:w w:val="120"/>
          <w:sz w:val="28"/>
          <w:szCs w:val="28"/>
        </w:rPr>
        <w:t>厅</w:t>
      </w:r>
      <w:r>
        <w:rPr>
          <w:rFonts w:eastAsia="方正楷体_GBK"/>
          <w:bCs/>
          <w:spacing w:val="-6"/>
          <w:w w:val="120"/>
          <w:sz w:val="28"/>
          <w:szCs w:val="28"/>
          <w:lang w:val="en"/>
        </w:rPr>
      </w:r>
      <w:r>
        <w:rPr>
          <w:rFonts w:eastAsia="Times New Roman"/>
          <w:bCs/>
          <w:spacing w:val="-6"/>
          <w:w w:val="120"/>
          <w:sz w:val="28"/>
          <w:szCs w:val="28"/>
        </w:rPr>
      </w:r>
      <w:r>
        <w:rPr>
          <w:rFonts w:eastAsia="方正楷体_GBK"/>
          <w:bCs/>
          <w:spacing w:val="-6"/>
          <w:w w:val="120"/>
          <w:sz w:val="28"/>
          <w:szCs w:val="28"/>
          <w:lang w:val="en"/>
        </w:rPr>
      </w:r>
      <w:r>
        <w:rPr>
          <w:rFonts w:eastAsia="Times New Roman"/>
          <w:bCs/>
          <w:spacing w:val="-6"/>
          <w:w w:val="120"/>
          <w:sz w:val="28"/>
          <w:szCs w:val="28"/>
        </w:rPr>
      </w:r>
      <w:r>
        <w:rPr>
          <w:rFonts w:eastAsia="方正楷体_GBK"/>
          <w:bCs/>
          <w:spacing w:val="-6"/>
          <w:w w:val="120"/>
          <w:sz w:val="28"/>
          <w:szCs w:val="28"/>
          <w:lang w:val="en"/>
        </w:rPr>
      </w:r>
    </w:p>
    <w:p>
      <w:pPr>
        <w:pStyle w:val="Normal"/>
        <w:spacing w:lineRule="exact" w:line="580"/>
        <w:rPr>
          <w:rFonts w:eastAsia="方正楷体_GBK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制定</w:t>
      </w:r>
      <w:r>
        <w:rPr>
          <w:rFonts w:eastAsia="方正楷体_GBK"/>
          <w:bCs/>
          <w:sz w:val="28"/>
          <w:szCs w:val="28"/>
        </w:rPr>
      </w:r>
    </w:p>
    <w:p>
      <w:pPr>
        <w:pStyle w:val="Normal"/>
        <w:spacing w:lineRule="exact" w:line="580"/>
        <w:ind w:firstLine="2240" w:end="0"/>
        <w:rPr>
          <w:rFonts w:eastAsia="方正楷体_GBK"/>
          <w:sz w:val="28"/>
          <w:szCs w:val="28"/>
          <w:lang w:bidi="ar"/>
        </w:rPr>
      </w:pPr>
      <w:r>
        <w:rPr>
          <w:rFonts w:eastAsia="方正楷体_GBK"/>
          <w:sz w:val="28"/>
          <w:szCs w:val="28"/>
          <w:lang w:bidi="ar"/>
        </w:rPr>
        <w:t>江苏省市场监督管理局</w:t>
      </w:r>
    </w:p>
    <w:p>
      <w:pPr>
        <w:pStyle w:val="Normal"/>
        <w:spacing w:lineRule="exact" w:line="580"/>
        <w:ind w:firstLine="5421" w:end="0"/>
        <w:jc w:val="center"/>
        <w:rPr>
          <w:rFonts w:eastAsia="方正楷体_GBK"/>
          <w:b/>
          <w:sz w:val="36"/>
          <w:szCs w:val="36"/>
          <w:lang w:bidi="ar"/>
        </w:rPr>
      </w:pPr>
      <w:r>
        <w:rPr>
          <w:rFonts w:eastAsia="方正楷体_GBK"/>
          <w:b/>
          <w:sz w:val="36"/>
          <w:szCs w:val="36"/>
          <w:lang w:bidi="ar"/>
        </w:rPr>
      </w:r>
    </w:p>
    <w:p>
      <w:pPr>
        <w:pStyle w:val="Normal"/>
        <w:spacing w:lineRule="exact" w:line="580"/>
        <w:jc w:val="center"/>
        <w:rPr>
          <w:rFonts w:eastAsia="方正仿宋_GBK"/>
          <w:sz w:val="28"/>
          <w:szCs w:val="28"/>
        </w:rPr>
      </w:pPr>
      <w:r>
        <w:rPr>
          <w:rFonts w:eastAsia="方正仿宋_GBK"/>
          <w:sz w:val="28"/>
          <w:szCs w:val="28"/>
          <w:lang w:bidi="ar"/>
        </w:rPr>
        <w:t>2022</w:t>
      </w:r>
      <w:r>
        <w:rPr>
          <w:rFonts w:eastAsia="方正仿宋_GBK"/>
          <w:sz w:val="28"/>
          <w:szCs w:val="28"/>
          <w:lang w:bidi="ar"/>
        </w:rPr>
        <w:t>年</w:t>
      </w:r>
      <w:r>
        <w:rPr>
          <w:rFonts w:eastAsia="方正仿宋_GBK"/>
          <w:sz w:val="28"/>
          <w:szCs w:val="28"/>
          <w:lang w:bidi="ar"/>
        </w:rPr>
        <w:t>6</w:t>
      </w:r>
      <w:r>
        <w:rPr>
          <w:rFonts w:eastAsia="方正仿宋_GBK"/>
          <w:sz w:val="28"/>
          <w:szCs w:val="28"/>
          <w:lang w:bidi="ar"/>
        </w:rPr>
        <w:t>月</w:t>
      </w:r>
    </w:p>
    <w:p>
      <w:pPr>
        <w:pStyle w:val="Normal"/>
        <w:spacing w:lineRule="exact" w:line="580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黑体_GBK"/>
          <w:sz w:val="28"/>
          <w:szCs w:val="28"/>
        </w:rPr>
      </w:pPr>
      <w:r>
        <w:rPr>
          <w:rFonts w:eastAsia="方正黑体_GBK"/>
          <w:sz w:val="28"/>
          <w:szCs w:val="28"/>
          <w:lang w:bidi="ar"/>
        </w:rPr>
        <w:t>使用说明</w:t>
      </w:r>
    </w:p>
    <w:p>
      <w:pPr>
        <w:pStyle w:val="Normal"/>
        <w:spacing w:lineRule="exact" w:line="580"/>
        <w:ind w:firstLine="567" w:end="0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</w:r>
    </w:p>
    <w:p>
      <w:pPr>
        <w:pStyle w:val="Normal"/>
        <w:spacing w:lineRule="exact" w:line="420"/>
        <w:ind w:firstLine="56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一、本合同文本为示范文本，供发卡人和购卡人之间签订单用途预付卡购卡合同时参照使用，双方当事人也可使用本合同电子版在电子商务平台上签约。</w:t>
      </w:r>
    </w:p>
    <w:p>
      <w:pPr>
        <w:pStyle w:val="Normal"/>
        <w:spacing w:lineRule="exact" w:line="420"/>
        <w:ind w:firstLine="56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二、合同双方当事人在签约之前应当仔细阅读本合同内容，特别是具有选择性、补充性、填充性、修改性的内容。</w:t>
      </w:r>
    </w:p>
    <w:p>
      <w:pPr>
        <w:pStyle w:val="Normal"/>
        <w:spacing w:lineRule="exact" w:line="420"/>
        <w:ind w:firstLine="56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三、双方当事人应结合具体情况选定本合同文本的选择性条款（在方框内打“√”，以示双方确认），空白行供双方当事人自行约定或者补充约定。双方当事人可以对文本条款的内容进行修改、增补或删除，但不得随意减轻或者免除依法应当由发卡人承担的责任。合同签订后，未被修改的文本印刷文字视为双方同意内容。</w:t>
      </w:r>
    </w:p>
    <w:p>
      <w:pPr>
        <w:pStyle w:val="Normal"/>
        <w:spacing w:lineRule="exact" w:line="420"/>
        <w:ind w:firstLine="56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四、本合同文本中涉及到的选择、填写内容以手写项为优先。</w:t>
      </w:r>
    </w:p>
    <w:p>
      <w:pPr>
        <w:pStyle w:val="Normal"/>
        <w:spacing w:lineRule="exact" w:line="420"/>
        <w:jc w:val="center"/>
        <w:rPr>
          <w:rFonts w:ascii="方正书宋_GBK" w:hAnsi="方正书宋_GBK" w:eastAsia="方正书宋_GBK"/>
          <w:color w:val="000000"/>
          <w:sz w:val="22"/>
          <w:szCs w:val="22"/>
        </w:rPr>
      </w:pPr>
      <w:r>
        <w:rPr>
          <w:rFonts w:eastAsia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spacing w:lineRule="exact" w:line="420"/>
        <w:jc w:val="center"/>
        <w:rPr>
          <w:rFonts w:ascii="方正书宋_GBK" w:hAnsi="方正书宋_GBK" w:eastAsia="方正书宋_GBK"/>
          <w:b/>
          <w:color w:val="000000"/>
          <w:sz w:val="22"/>
          <w:szCs w:val="22"/>
        </w:rPr>
      </w:pPr>
      <w:r>
        <w:rPr>
          <w:rFonts w:eastAsia="方正书宋_GBK" w:ascii="方正书宋_GBK" w:hAnsi="方正书宋_GBK"/>
          <w:b/>
          <w:color w:val="000000"/>
          <w:sz w:val="22"/>
          <w:szCs w:val="22"/>
        </w:rPr>
      </w:r>
    </w:p>
    <w:p>
      <w:pPr>
        <w:pStyle w:val="Normal"/>
        <w:spacing w:lineRule="exact" w:line="420"/>
        <w:jc w:val="center"/>
        <w:rPr>
          <w:rFonts w:eastAsia="方正书宋_GBK"/>
          <w:b/>
          <w:color w:val="000000"/>
          <w:sz w:val="22"/>
          <w:szCs w:val="22"/>
        </w:rPr>
      </w:pPr>
      <w:r>
        <w:rPr>
          <w:rFonts w:eastAsia="方正书宋_GBK"/>
          <w:b/>
          <w:color w:val="000000"/>
          <w:sz w:val="22"/>
          <w:szCs w:val="22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40"/>
          <w:szCs w:val="40"/>
        </w:rPr>
      </w:pPr>
      <w:r>
        <w:rPr>
          <w:rFonts w:eastAsia="方正小标宋_GBK"/>
          <w:color w:val="000000"/>
          <w:sz w:val="40"/>
          <w:szCs w:val="40"/>
          <w:lang w:bidi="ar"/>
        </w:rPr>
        <w:t>江苏省单用途预付卡购卡合同</w:t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40"/>
          <w:szCs w:val="40"/>
        </w:rPr>
      </w:pPr>
      <w:r>
        <w:rPr>
          <w:rFonts w:eastAsia="方正小标宋_GBK"/>
          <w:color w:val="000000"/>
          <w:sz w:val="40"/>
          <w:szCs w:val="40"/>
          <w:lang w:bidi="ar"/>
        </w:rPr>
        <w:t>（示范文本）</w:t>
      </w:r>
    </w:p>
    <w:p>
      <w:pPr>
        <w:pStyle w:val="Normal"/>
        <w:spacing w:lineRule="exact" w:line="580"/>
        <w:rPr>
          <w:rFonts w:eastAsia="仿宋"/>
          <w:color w:val="000000"/>
          <w:sz w:val="28"/>
          <w:szCs w:val="28"/>
        </w:rPr>
      </w:pPr>
      <w:r>
        <w:rPr>
          <w:rFonts w:eastAsia="仿宋"/>
          <w:color w:val="000000"/>
          <w:sz w:val="28"/>
          <w:szCs w:val="28"/>
        </w:rPr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{甲方（发卡人）}：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住所地：{住所地}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法定代表人：{法定代表人}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统一社会信用代码：{统一社会信用代码}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联系电话：{联系电话}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乙方（购卡人）：{购卡人名称}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住所地：{住所地}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证件号码：{证件号码}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联系电话：{联系电话}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鉴于{购买方}购买{发行方}发行的单用途预付卡（以下简称预付卡），{发行方}为{购买方}提供相应商品或服务，根据《中华人民共和国民法典》《中华人民共和国消费者权益保护法》《江苏省预付卡管理办法》及其他相关法律法规的规定，甲乙双方就预付卡有关事宜，经协商一致，约定如下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 xml:space="preserve">第一条 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{预付卡基本情况}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thick"/>
        </w:rPr>
      </w:pPr>
      <w:r>
        <w:rPr>
          <w:rFonts w:eastAsia="方正书宋_GBK"/>
          <w:sz w:val="22"/>
          <w:szCs w:val="22"/>
          <w:lang w:bidi="ar"/>
        </w:rPr>
        <w:t xml:space="preserve">1. </w:t>
      </w:r>
      <w:r>
        <w:rPr>
          <w:rFonts w:ascii="方正书宋_GBK" w:hAnsi="方正书宋_GBK" w:eastAsia="方正书宋_GBK"/>
          <w:sz w:val="22"/>
          <w:szCs w:val="22"/>
          <w:lang w:bidi="ar"/>
        </w:rPr>
        <w:t>预付卡名称：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{预付卡名称}。</w:t>
      </w:r>
      <w:r>
        <w:rPr>
          <w:rFonts w:ascii="方正书宋_GBK" w:hAnsi="方正书宋_GBK" w:eastAsia="方正书宋_GBK"/>
          <w:sz w:val="22"/>
          <w:szCs w:val="22"/>
          <w:lang w:bidi="ar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预付卡载体／形式：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{载体／形式}。</w:t>
      </w:r>
      <w:r>
        <w:rPr>
          <w:rFonts w:ascii="方正书宋_GBK" w:hAnsi="方正书宋_GBK" w:eastAsia="方正书宋_GBK"/>
          <w:sz w:val="22"/>
          <w:szCs w:val="22"/>
          <w:lang w:bidi="ar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{凭证类型}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虚拟凭证{凭证类型}（电子凭证{凭证形式}）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{预付卡种类}（可多选）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计次卡，使用次数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{使用次数</w:t>
      </w:r>
      <w:r>
        <w:rPr>
          <w:rFonts w:ascii="方正书宋_GBK" w:hAnsi="方正书宋_GBK" w:eastAsia="方正书宋_GBK"/>
          <w:sz w:val="22"/>
          <w:szCs w:val="22"/>
          <w:lang w:bidi="ar"/>
        </w:rPr>
        <w:t>} 次。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储值卡，储值金额为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{储值金额}</w:t>
      </w:r>
      <w:r>
        <w:rPr>
          <w:rFonts w:ascii="方正书宋_GBK" w:hAnsi="方正书宋_GBK" w:eastAsia="方正书宋_GBK"/>
          <w:sz w:val="22"/>
          <w:szCs w:val="22"/>
          <w:lang w:bidi="ar"/>
        </w:rPr>
        <w:t>元。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时效卡，有效期为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{开始日</w:t>
      </w:r>
      <w:r>
        <w:rPr>
          <w:rFonts w:ascii="方正书宋_GBK" w:hAnsi="方正书宋_GBK" w:eastAsia="方正书宋_GBK"/>
          <w:sz w:val="22"/>
          <w:szCs w:val="22"/>
          <w:lang w:bidi="ar"/>
        </w:rPr>
        <w:t>期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}至</w:t>
      </w:r>
      <w:r>
        <w:rPr>
          <w:rFonts w:ascii="方正书宋_GBK" w:hAnsi="方正书宋_GBK" w:eastAsia="方正书宋_GBK"/>
          <w:sz w:val="22"/>
          <w:szCs w:val="22"/>
          <w:lang w:bidi="ar"/>
        </w:rPr>
        <w:t>{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结束</w:t>
      </w:r>
      <w:r>
        <w:rPr>
          <w:rFonts w:ascii="方正书宋_GBK" w:hAnsi="方正书宋_GBK" w:eastAsia="方正书宋_GBK"/>
          <w:sz w:val="22"/>
          <w:szCs w:val="22"/>
          <w:lang w:bidi="ar"/>
        </w:rPr>
        <w:t>日期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}。</w:t>
      </w:r>
      <w:r>
        <w:rPr>
          <w:rFonts w:ascii="方正书宋_GBK" w:hAnsi="方正书宋_GBK" w:eastAsia="方正书宋_GBK"/>
          <w:sz w:val="22"/>
          <w:szCs w:val="22"/>
          <w:lang w:bidi="ar"/>
        </w:rPr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</w:r>
      <w:r>
        <w:rPr>
          <w:rFonts w:ascii="方正书宋_GBK" w:hAnsi="方正书宋_GBK" w:eastAsia="方正书宋_GBK"/>
          <w:sz w:val="22"/>
          <w:szCs w:val="22"/>
          <w:lang w:bidi="ar"/>
        </w:rPr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</w:r>
      <w:r>
        <w:rPr>
          <w:rFonts w:ascii="方正书宋_GBK" w:hAnsi="方正书宋_GBK" w:eastAsia="方正书宋_GBK"/>
          <w:sz w:val="22"/>
          <w:szCs w:val="22"/>
          <w:lang w:bidi="ar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其他：</w:t>
      </w:r>
      <w:r>
        <w:rPr>
          <w:rFonts w:eastAsia="方正书宋_GBK" w:ascii="方正书宋_GBK" w:hAnsi="方正书宋_GBK"/>
          <w:sz w:val="22"/>
          <w:szCs w:val="22"/>
          <w:lang w:bidi="ar"/>
        </w:rPr>
        <w:t>{内容}。</w:t>
      </w:r>
      <w:r>
        <w:rPr>
          <w:rFonts w:ascii="方正书宋_GBK" w:hAnsi="方正书宋_GBK" w:eastAsia="方正书宋_GBK"/>
          <w:sz w:val="22"/>
          <w:szCs w:val="22"/>
          <w:lang w:bidi="ar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3. </w:t>
      </w:r>
      <w:r>
        <w:rPr>
          <w:rFonts w:ascii="方正书宋_GBK" w:hAnsi="方正书宋_GBK" w:eastAsia="方正书宋_GBK"/>
          <w:sz w:val="22"/>
          <w:szCs w:val="22"/>
          <w:lang w:bidi="ar"/>
        </w:rPr>
        <w:t>使用范围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本预付卡可兑付商品、服务及品牌为：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{待填写内容}。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仅限本店使用，名称、地址：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{名称、地址}。</w:t>
      </w:r>
      <w:r>
        <w:rPr>
          <w:rFonts w:ascii="方正书宋_GBK" w:hAnsi="方正书宋_GBK" w:eastAsia="方正书宋_GBK"/>
          <w:sz w:val="22"/>
          <w:szCs w:val="22"/>
          <w:lang w:bidi="ar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多门店通用，门店名称、地址见附件。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无实体店，具体方式为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{具体方式}。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4. </w:t>
      </w:r>
      <w:r>
        <w:rPr>
          <w:rFonts w:ascii="方正书宋_GBK" w:hAnsi="方正书宋_GBK" w:eastAsia="方正书宋_GBK"/>
          <w:sz w:val="22"/>
          <w:szCs w:val="22"/>
          <w:lang w:bidi="ar"/>
        </w:rPr>
        <w:t>{预付卡期限}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该卡为记名卡，不设有效期。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该卡为不记名卡，有效期为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{有效期限}</w:t>
      </w:r>
      <w:r>
        <w:rPr>
          <w:rFonts w:ascii="方正书宋_GBK" w:hAnsi="方正书宋_GBK" w:eastAsia="方正书宋_GBK"/>
          <w:sz w:val="22"/>
          <w:szCs w:val="22"/>
          <w:lang w:bidi="ar"/>
        </w:rPr>
        <w:t>年（商贸流通领域不少于</w:t>
      </w:r>
      <w:r>
        <w:rPr>
          <w:rFonts w:eastAsia="方正书宋_GBK" w:ascii="方正书宋_GBK" w:hAnsi="方正书宋_GBK"/>
          <w:sz w:val="22"/>
          <w:szCs w:val="22"/>
          <w:lang w:bidi="ar"/>
        </w:rPr>
        <w:t>3</w:t>
      </w:r>
      <w:r>
        <w:rPr>
          <w:rFonts w:ascii="方正书宋_GBK" w:hAnsi="方正书宋_GBK" w:eastAsia="方正书宋_GBK"/>
          <w:sz w:val="22"/>
          <w:szCs w:val="22"/>
          <w:lang w:bidi="ar"/>
        </w:rPr>
        <w:t>年），自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{开始日</w:t>
      </w:r>
      <w:r>
        <w:rPr>
          <w:rFonts w:ascii="方正书宋_GBK" w:hAnsi="方正书宋_GBK" w:eastAsia="方正书宋_GBK"/>
          <w:sz w:val="22"/>
          <w:szCs w:val="22"/>
          <w:lang w:bidi="ar"/>
        </w:rPr>
        <w:t>期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}年{</w:t>
      </w:r>
      <w:r>
        <w:rPr>
          <w:rFonts w:ascii="方正书宋_GBK" w:hAnsi="方正书宋_GBK" w:eastAsia="方正书宋_GBK"/>
          <w:sz w:val="22"/>
          <w:szCs w:val="22"/>
          <w:lang w:bidi="ar"/>
        </w:rPr>
        <w:t>开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始月份</w:t>
      </w:r>
      <w:r>
        <w:rPr>
          <w:rFonts w:ascii="方正书宋_GBK" w:hAnsi="方正书宋_GBK" w:eastAsia="方正书宋_GBK"/>
          <w:sz w:val="22"/>
          <w:szCs w:val="22"/>
          <w:lang w:bidi="ar"/>
        </w:rPr>
        <w:t>}月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{开始日</w:t>
      </w:r>
      <w:r>
        <w:rPr>
          <w:rFonts w:ascii="方正书宋_GBK" w:hAnsi="方正书宋_GBK" w:eastAsia="方正书宋_GBK"/>
          <w:sz w:val="22"/>
          <w:szCs w:val="22"/>
          <w:lang w:bidi="ar"/>
        </w:rPr>
        <w:t>期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}日至</w:t>
      </w:r>
      <w:r>
        <w:rPr>
          <w:rFonts w:ascii="方正书宋_GBK" w:hAnsi="方正书宋_GBK" w:eastAsia="方正书宋_GBK"/>
          <w:sz w:val="22"/>
          <w:szCs w:val="22"/>
          <w:lang w:bidi="ar"/>
        </w:rPr>
        <w:t>{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结束日</w:t>
      </w:r>
      <w:r>
        <w:rPr>
          <w:rFonts w:ascii="方正书宋_GBK" w:hAnsi="方正书宋_GBK" w:eastAsia="方正书宋_GBK"/>
          <w:sz w:val="22"/>
          <w:szCs w:val="22"/>
          <w:lang w:bidi="ar"/>
        </w:rPr>
        <w:t>期}年{结束月份}月{结束日期}日。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甲方对预付卡有效期以醒目标识标注于卡片页面；未标识的，视为无有效期限制。有效期届满后卡内仍有剩余金额、次数的，甲方应当提供延期、激活、换卡等配套服务，乙方 {是否需要支付手续费}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支付手</w:t>
      </w:r>
      <w:r>
        <w:rPr>
          <w:rFonts w:ascii="方正书宋_GBK" w:hAnsi="方正书宋_GBK" w:eastAsia="方正书宋_GBK"/>
          <w:sz w:val="22"/>
          <w:szCs w:val="22"/>
          <w:lang w:bidi="ar"/>
        </w:rPr>
        <w:t>续费 {手续费金额} 元。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甲方在非法定节假日暂停营业超过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{小时数</w:t>
      </w:r>
      <w:r>
        <w:rPr>
          <w:rFonts w:ascii="方正书宋_GBK" w:hAnsi="方正书宋_GBK" w:eastAsia="方正书宋_GBK"/>
          <w:sz w:val="22"/>
          <w:szCs w:val="22"/>
          <w:lang w:bidi="ar"/>
        </w:rPr>
        <w:t>} 小时的，预付卡有效期限相应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顺延 {天数}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天；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延期、激活、换卡的其他约定：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5. </w:t>
      </w:r>
      <w:r>
        <w:rPr>
          <w:rFonts w:ascii="方正书宋_GBK" w:hAnsi="方正书宋_GBK" w:eastAsia="方正书宋_GBK"/>
          <w:sz w:val="22"/>
          <w:szCs w:val="22"/>
          <w:lang w:bidi="ar"/>
        </w:rPr>
        <w:t>{使用权限}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该卡记名，仅限{持卡人}本人使用。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该卡不记名，可由持卡人使用。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该卡为密码卡，设置密码使用。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其他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6. </w:t>
      </w:r>
      <w:r>
        <w:rPr>
          <w:rFonts w:eastAsia="方正书宋_GBK"/>
          <w:sz w:val="22"/>
          <w:szCs w:val="22"/>
          <w:lang w:bidi="ar"/>
        </w:rPr>
        <w:t>备</w:t>
      </w:r>
      <w:r>
        <w:rPr>
          <w:rFonts w:ascii="方正书宋_GBK" w:hAnsi="方正书宋_GBK" w:eastAsia="方正书宋_GBK"/>
          <w:sz w:val="22"/>
          <w:szCs w:val="22"/>
          <w:lang w:bidi="ar"/>
        </w:rPr>
        <w:t>案及信息对接情况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预付卡是否经过备案：{备案状态}</w:t>
      </w:r>
    </w:p>
    <w:p>
      <w:pPr>
        <w:pStyle w:val="Normal"/>
        <w:spacing w:lineRule="exact" w:line="420"/>
        <w:ind w:firstLine="416" w:end="0"/>
        <w:rPr>
          <w:rFonts w:ascii="方正书宋_GBK" w:hAnsi="方正书宋_GBK" w:eastAsia="方正书宋_GBK"/>
          <w:spacing w:val="-6"/>
          <w:sz w:val="22"/>
          <w:szCs w:val="22"/>
        </w:rPr>
      </w:pPr>
      <w:r>
        <w:rPr>
          <w:rFonts w:ascii="方正书宋_GBK" w:hAnsi="方正书宋_GBK" w:eastAsia="方正书宋_GBK"/>
          <w:spacing w:val="-6"/>
          <w:sz w:val="22"/>
          <w:szCs w:val="22"/>
          <w:lang w:bidi="ar"/>
        </w:rPr>
        <w:t>发卡业务系统是否与预付卡管理服务平台信息对接：{是否对接}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>第二条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 购卡费用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1. </w:t>
      </w:r>
      <w:r>
        <w:rPr>
          <w:rFonts w:ascii="方正书宋_GBK" w:hAnsi="方正书宋_GBK" w:eastAsia="方正书宋_GBK"/>
          <w:sz w:val="22"/>
          <w:szCs w:val="22"/>
          <w:lang w:bidi="ar"/>
        </w:rPr>
        <w:t>合同金额及支付：乙方自本合同签订之日起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{工作日数</w:t>
      </w:r>
      <w:r>
        <w:rPr>
          <w:rFonts w:ascii="方正书宋_GBK" w:hAnsi="方正书宋_GBK" w:eastAsia="方正书宋_GBK"/>
          <w:sz w:val="22"/>
          <w:szCs w:val="22"/>
          <w:lang w:bidi="ar"/>
        </w:rPr>
        <w:t>} 日内向甲方支付购卡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费用 {金额} 元。支付</w:t>
      </w:r>
      <w:r>
        <w:rPr>
          <w:rFonts w:ascii="方正书宋_GBK" w:hAnsi="方正书宋_GBK" w:eastAsia="方正书宋_GBK"/>
          <w:sz w:val="22"/>
          <w:szCs w:val="22"/>
          <w:lang w:bidi="ar"/>
        </w:rPr>
        <w:t>方式：□现金  □银行卡  □支付宝  □微信  □其他 {支付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方式} 。</w:t>
      </w:r>
      <w:r>
        <w:rPr>
          <w:rFonts w:ascii="方正书宋_GBK" w:hAnsi="方正书宋_GBK" w:eastAsia="方正书宋_GBK"/>
          <w:sz w:val="22"/>
          <w:szCs w:val="22"/>
          <w:lang w:bidi="ar"/>
        </w:rPr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本合同可兑付商品或服务金额优惠幅度：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{优惠幅度}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3. </w:t>
      </w:r>
      <w:r>
        <w:rPr>
          <w:rFonts w:ascii="方正书宋_GBK" w:hAnsi="方正书宋_GBK" w:eastAsia="方正书宋_GBK"/>
          <w:sz w:val="22"/>
          <w:szCs w:val="22"/>
          <w:lang w:bidi="ar"/>
        </w:rPr>
        <w:t>另收费项目：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{另收费项目内容}                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4. </w:t>
      </w:r>
      <w:r>
        <w:rPr>
          <w:rFonts w:ascii="方正书宋_GBK" w:hAnsi="方正书宋_GBK" w:eastAsia="方正书宋_GBK"/>
          <w:sz w:val="22"/>
          <w:szCs w:val="22"/>
          <w:lang w:bidi="ar"/>
        </w:rPr>
        <w:t>预付卡遗失、损坏需要补卡的，乙方□不需 □需 支付手续费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{手续费</w:t>
      </w:r>
      <w:r>
        <w:rPr>
          <w:rFonts w:ascii="方正书宋_GBK" w:hAnsi="方正书宋_GBK" w:eastAsia="方正书宋_GBK"/>
          <w:sz w:val="22"/>
          <w:szCs w:val="22"/>
          <w:lang w:bidi="ar"/>
        </w:rPr>
        <w:t>金额} 元。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 xml:space="preserve">第三条 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{甲方的权利义务}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1.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甲方承诺：甲方及其法定代表人、控股出资人、实际控制人、董事、监事、高级管理人员未被列为失信被执行人；甲方及其出资人未被列入{经营异常名录}。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甲方应真实、全面地向乙方提供{预付卡信息}，不作虚假或者引人误解的宣传。对乙方就预付卡提出的询问，甲方应及时、明确答复。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3.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甲方按照约定向乙方提供{商品或者服务}，并提供{合法预收资金凭证}，有权获取{约定的费用}。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对于记名卡，甲方应留存乙方预付卡购卡信息，不得以乙方损坏预付卡为由拒绝提供商品或服务，也不得拒绝为乙方办理补卡。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4.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甲方应在法定期限内办理预付卡备案，并与{预付卡管理服务平台}进行信息对接。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5.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甲方应依法规范经营，确保预收资金用于主营业务经营相关支出，对预收资金加强管理和风险控制。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6.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甲方承担对{乙方信息}的保密义务和数据安全的保障义务，不得收集与{乙方身份确认}无关的其他个人信息。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7. </w:t>
      </w:r>
      <w:r>
        <w:rPr>
          <w:rFonts w:ascii="方正书宋_GBK" w:hAnsi="方正书宋_GBK" w:eastAsia="方正书宋_GBK"/>
          <w:sz w:val="22"/>
          <w:szCs w:val="22"/>
          <w:lang w:bidi="ar"/>
        </w:rPr>
        <w:t>合同期限内，甲方不得从事以下行为：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1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仅因甲方名称变更、注册或经营地址变更或者法定代表人、负责人、控股出资人、实际控制人变更而不履行约定义务；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2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以加盟店、受让商标、品牌方式等为由，规避甲方预付卡兑付义务。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8. </w:t>
      </w:r>
      <w:r>
        <w:rPr>
          <w:rFonts w:ascii="方正书宋_GBK" w:hAnsi="方正书宋_GBK" w:eastAsia="方正书宋_GBK"/>
          <w:sz w:val="22"/>
          <w:szCs w:val="22"/>
          <w:lang w:bidi="ar"/>
        </w:rPr>
        <w:t>其他</w:t>
      </w:r>
      <w:r>
        <w:rPr>
          <w:rFonts w:eastAsia="方正书宋_GBK" w:ascii="方正书宋_GBK" w:hAnsi="方正书宋_GBK"/>
          <w:sz w:val="22"/>
          <w:szCs w:val="22"/>
          <w:lang w:bidi="ar"/>
        </w:rPr>
        <w:t>:</w:t>
      </w:r>
      <w:r>
        <w:rPr>
          <w:rFonts w:eastAsia="方正书宋_GBK" w:ascii="方正书宋_GBK" w:hAnsi="方正书宋_GBK"/>
          <w:sz w:val="22"/>
          <w:szCs w:val="22"/>
          <w:u w:val="single"/>
          <w:lang w:bidi="ar"/>
        </w:rPr>
        <w:t xml:space="preserve">    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{其他内容}</w:t>
      </w:r>
    </w:p>
    <w:p>
      <w:pPr>
        <w:pStyle w:val="Normal"/>
        <w:tabs>
          <w:tab w:val="clear" w:pos="420"/>
          <w:tab w:val="left" w:pos="5865" w:leader="none"/>
        </w:tabs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>第四条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{乙方的权利义务}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1.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乙方有权向甲方了解{相关信息}及其对应商品或服务的相关信息，查询消费记录，按约定妥善保管预付卡及相关信息。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乙方有权要求甲方按本合同约定提供{商品或者服务}。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3.</w:t>
      </w:r>
      <w:r>
        <w:rPr>
          <w:rFonts w:eastAsia="方正书宋_GBK" w:ascii="方正书宋_GBK" w:hAnsi="方正书宋_GBK"/>
          <w:sz w:val="22"/>
          <w:szCs w:val="22"/>
          <w:lang w:bidi="ar"/>
        </w:rPr>
        <w:t xml:space="preserve">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乙方在合同签订及履行过程中应当注意防范{预付卡兑付风险}。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4.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乙方预付卡余额不足支付当次消费，可以{现金方式}补足，并一次性享受原优惠幅度。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5.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乙方按照本合同约定的期限和金额向甲方支付费用。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6. </w:t>
      </w:r>
      <w:r>
        <w:rPr>
          <w:rFonts w:ascii="方正书宋_GBK" w:hAnsi="方正书宋_GBK" w:eastAsia="方正书宋_GBK"/>
          <w:sz w:val="22"/>
          <w:szCs w:val="22"/>
          <w:lang w:bidi="ar"/>
        </w:rPr>
        <w:t>其他：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{其他内容}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 xml:space="preserve">第五条 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{重要事项须知}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1.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甲方应当明确告知乙方其经营场所的租赁期限信息，租赁期限自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{年份1</w:t>
      </w:r>
      <w:r>
        <w:rPr>
          <w:rFonts w:ascii="方正书宋_GBK" w:hAnsi="方正书宋_GBK" w:eastAsia="方正书宋_GBK"/>
          <w:sz w:val="22"/>
          <w:szCs w:val="22"/>
          <w:lang w:bidi="ar"/>
        </w:rPr>
        <w:t>}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年 </w:t>
      </w:r>
      <w:r>
        <w:rPr>
          <w:rFonts w:ascii="方正书宋_GBK" w:hAnsi="方正书宋_GBK" w:eastAsia="方正书宋_GBK"/>
          <w:sz w:val="22"/>
          <w:szCs w:val="22"/>
          <w:lang w:bidi="ar"/>
        </w:rPr>
        <w:t>{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月份1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} 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月 {日期</w:t>
      </w:r>
      <w:r>
        <w:rPr>
          <w:rFonts w:ascii="方正书宋_GBK" w:hAnsi="方正书宋_GBK" w:eastAsia="方正书宋_GBK"/>
          <w:sz w:val="22"/>
          <w:szCs w:val="22"/>
          <w:lang w:bidi="ar"/>
        </w:rPr>
        <w:t>1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} 日</w:t>
      </w:r>
      <w:r>
        <w:rPr>
          <w:rFonts w:ascii="方正书宋_GBK" w:hAnsi="方正书宋_GBK" w:eastAsia="方正书宋_GBK"/>
          <w:sz w:val="22"/>
          <w:szCs w:val="22"/>
          <w:lang w:bidi="ar"/>
        </w:rPr>
        <w:t>至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{年</w:t>
      </w:r>
      <w:r>
        <w:rPr>
          <w:rFonts w:ascii="方正书宋_GBK" w:hAnsi="方正书宋_GBK" w:eastAsia="方正书宋_GBK"/>
          <w:sz w:val="22"/>
          <w:szCs w:val="22"/>
          <w:lang w:bidi="ar"/>
        </w:rPr>
        <w:t>份2} 年 {月份2} 月 {日期2} 日。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甲方出现以下可能影响预付卡兑付情形之一的，应当提前一个月在经营场所显著位置告示、网站和网店首页等发布公告，以及{通知方式}向乙方告知：</w:t>
      </w:r>
    </w:p>
    <w:p>
      <w:pPr>
        <w:pStyle w:val="Normal"/>
        <w:tabs>
          <w:tab w:val="clear" w:pos="420"/>
          <w:tab w:val="left" w:pos="6360" w:leader="none"/>
        </w:tabs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1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终止预付卡业务；</w:t>
      </w:r>
      <w:r>
        <w:rPr>
          <w:rFonts w:eastAsia="方正书宋_GBK" w:ascii="方正书宋_GBK" w:hAnsi="方正书宋_GBK"/>
          <w:sz w:val="22"/>
          <w:szCs w:val="22"/>
          <w:lang w:bidi="ar"/>
        </w:rPr>
        <w:tab/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2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合并、停业、歇业、注册地址或经营场所变更；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3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法定代表人、控股出资人、实际控制人、董事、监事、高级管理人员变更；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4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提供的商品或者服务发生重大变更；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5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其他影响预付卡使用的重大事项。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>第六条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 {退卡退费处理}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1. 15</w:t>
      </w:r>
      <w:r>
        <w:rPr>
          <w:rFonts w:ascii="方正书宋_GBK" w:hAnsi="方正书宋_GBK" w:eastAsia="方正书宋_GBK"/>
          <w:sz w:val="22"/>
          <w:szCs w:val="22"/>
          <w:lang w:bidi="ar"/>
        </w:rPr>
        <w:t>天冷静期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乙方自付款之日起有</w:t>
      </w:r>
      <w:r>
        <w:rPr>
          <w:rFonts w:eastAsia="方正书宋_GBK" w:ascii="方正书宋_GBK" w:hAnsi="方正书宋_GBK"/>
          <w:sz w:val="22"/>
          <w:szCs w:val="22"/>
          <w:lang w:bidi="ar"/>
        </w:rPr>
        <w:t>15</w:t>
      </w:r>
      <w:r>
        <w:rPr>
          <w:rFonts w:ascii="方正书宋_GBK" w:hAnsi="方正书宋_GBK" w:eastAsia="方正书宋_GBK"/>
          <w:sz w:val="22"/>
          <w:szCs w:val="22"/>
          <w:lang w:bidi="ar"/>
        </w:rPr>
        <w:t>天冷静期，在冷静期间未开卡使用消费的情况下，有权无条件解除本合同。甲方收到退卡申请之日起</w:t>
      </w:r>
      <w:r>
        <w:rPr>
          <w:rFonts w:eastAsia="方正书宋_GBK" w:ascii="方正书宋_GBK" w:hAnsi="方正书宋_GBK"/>
          <w:sz w:val="22"/>
          <w:szCs w:val="22"/>
          <w:lang w:bidi="ar"/>
        </w:rPr>
        <w:t>_____</w:t>
      </w:r>
      <w:r>
        <w:rPr>
          <w:rFonts w:ascii="方正书宋_GBK" w:hAnsi="方正书宋_GBK" w:eastAsia="方正书宋_GBK"/>
          <w:sz w:val="22"/>
          <w:szCs w:val="22"/>
          <w:lang w:bidi="ar"/>
        </w:rPr>
        <w:t>日内向乙方一次性返还全部预付费用。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在冷静期间已产生部分消费的情况下，乙方有权解除本合同。甲方收到退卡申请之日起，按照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{扣除标准}标准</w:t>
      </w:r>
      <w:r>
        <w:rPr>
          <w:rFonts w:ascii="方正书宋_GBK" w:hAnsi="方正书宋_GBK" w:eastAsia="方正书宋_GBK"/>
          <w:sz w:val="22"/>
          <w:szCs w:val="22"/>
          <w:lang w:bidi="ar"/>
        </w:rPr>
        <w:t>扣除已消费金额，于{退</w:t>
      </w:r>
      <w:r>
        <w:rPr>
          <w:rFonts w:eastAsia="方正书宋_GBK" w:ascii="方正书宋_GBK" w:hAnsi="方正书宋_GBK"/>
          <w:sz w:val="22"/>
          <w:szCs w:val="22"/>
          <w:lang w:bidi="ar"/>
        </w:rPr>
        <w:t>款期限}日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内向乙方一次性返还预付费用余额。乙方 □不需 □需 支付手续费 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{手续费</w:t>
      </w:r>
      <w:r>
        <w:rPr>
          <w:rFonts w:ascii="方正书宋_GBK" w:hAnsi="方正书宋_GBK" w:eastAsia="方正书宋_GBK"/>
          <w:sz w:val="22"/>
          <w:szCs w:val="22"/>
          <w:lang w:bidi="ar"/>
        </w:rPr>
        <w:t>金额}元。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{乙方原因}导致{退卡}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乙方在</w:t>
      </w:r>
      <w:r>
        <w:rPr>
          <w:rFonts w:eastAsia="方正书宋_GBK" w:ascii="方正书宋_GBK" w:hAnsi="方正书宋_GBK"/>
          <w:sz w:val="22"/>
          <w:szCs w:val="22"/>
          <w:lang w:bidi="ar"/>
        </w:rPr>
        <w:t>15</w:t>
      </w:r>
      <w:r>
        <w:rPr>
          <w:rFonts w:ascii="方正书宋_GBK" w:hAnsi="方正书宋_GBK" w:eastAsia="方正书宋_GBK"/>
          <w:sz w:val="22"/>
          <w:szCs w:val="22"/>
          <w:lang w:bidi="ar"/>
        </w:rPr>
        <w:t>天冷静期后，因自身原因要求解除合同，须提供原始购卡凭证、有效身份证件及退卡卡号等相关信息。甲方收到退卡申请后，按照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{扣除标准}     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标准扣除已消</w:t>
      </w:r>
      <w:r>
        <w:rPr>
          <w:rFonts w:ascii="方正书宋_GBK" w:hAnsi="方正书宋_GBK" w:eastAsia="方正书宋_GBK"/>
          <w:sz w:val="22"/>
          <w:szCs w:val="22"/>
          <w:lang w:bidi="ar"/>
        </w:rPr>
        <w:t>费金额，于        {退款期限}       日内向乙方一次性返还预付费用余额。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因乙方原因退卡的，乙方需按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{违约金标准}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向甲方支付违约金。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3.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甲方原因导致退卡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合同履行期间，出现本合同第五条第二款情形的，或因{变更事项}变更服务地点或方式、调整主要经营项目、提高承诺价格或增加服务限制条件的，由双方协商解决；协商不成的，乙方有权解除合同并要求甲方按照下述标准在扣除已消费金额后，一次性返还预付费用余额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1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双方约定乙方享受单次服务价格优惠的，已消费金额应当按照约定的优惠价格计算；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2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双方约定乙方享受明确的赠送金额或服务项目的，单次服务价格的优惠折扣率为：{优惠折扣率}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预付费用总额</w:t>
      </w:r>
      <w:r>
        <w:rPr>
          <w:rFonts w:eastAsia="方正书宋_GBK" w:ascii="方正书宋_GBK" w:hAnsi="方正书宋_GBK"/>
          <w:sz w:val="22"/>
          <w:szCs w:val="22"/>
          <w:lang w:bidi="ar"/>
        </w:rPr>
        <w:t>÷</w:t>
      </w:r>
      <w:r>
        <w:rPr>
          <w:rFonts w:ascii="方正书宋_GBK" w:hAnsi="方正书宋_GBK" w:eastAsia="方正书宋_GBK"/>
          <w:sz w:val="22"/>
          <w:szCs w:val="22"/>
          <w:lang w:bidi="ar"/>
        </w:rPr>
        <w:t>（赠送金额或赠送服务的折算金额＋预付费用总额）</w:t>
      </w:r>
      <w:r>
        <w:rPr>
          <w:rFonts w:eastAsia="方正书宋_GBK" w:ascii="方正书宋_GBK" w:hAnsi="方正书宋_GBK"/>
          <w:sz w:val="22"/>
          <w:szCs w:val="22"/>
          <w:lang w:bidi="ar"/>
        </w:rPr>
        <w:t>×100%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3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双方约定乙方在有效期限内不限次享受服务的，已消费金额计算方式为：{已消费金额计算方式}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合同生效之日起至合同解除之日止的天数</w:t>
      </w:r>
      <w:r>
        <w:rPr>
          <w:rFonts w:eastAsia="方正书宋_GBK" w:ascii="方正书宋_GBK" w:hAnsi="方正书宋_GBK"/>
          <w:sz w:val="22"/>
          <w:szCs w:val="22"/>
          <w:lang w:bidi="ar"/>
        </w:rPr>
        <w:t>÷</w:t>
      </w:r>
      <w:r>
        <w:rPr>
          <w:rFonts w:ascii="方正书宋_GBK" w:hAnsi="方正书宋_GBK" w:eastAsia="方正书宋_GBK"/>
          <w:sz w:val="22"/>
          <w:szCs w:val="22"/>
          <w:lang w:bidi="ar"/>
        </w:rPr>
        <w:t>有效期限内天数</w:t>
      </w:r>
      <w:r>
        <w:rPr>
          <w:rFonts w:eastAsia="方正书宋_GBK" w:ascii="方正书宋_GBK" w:hAnsi="方正书宋_GBK"/>
          <w:sz w:val="22"/>
          <w:szCs w:val="22"/>
          <w:lang w:bidi="ar"/>
        </w:rPr>
        <w:t>×100%×</w:t>
      </w:r>
      <w:r>
        <w:rPr>
          <w:rFonts w:ascii="方正书宋_GBK" w:hAnsi="方正书宋_GBK" w:eastAsia="方正书宋_GBK"/>
          <w:sz w:val="22"/>
          <w:szCs w:val="22"/>
          <w:lang w:bidi="ar"/>
        </w:rPr>
        <w:t>预付费用总额。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4. </w:t>
      </w:r>
      <w:r>
        <w:rPr>
          <w:rFonts w:ascii="方正书宋_GBK" w:hAnsi="方正书宋_GBK" w:eastAsia="方正书宋_GBK"/>
          <w:sz w:val="22"/>
          <w:szCs w:val="22"/>
          <w:lang w:bidi="ar"/>
        </w:rPr>
        <w:t>因甲方原因歇业或注销，乙方要求解除合同的，甲方应当无条件提供免费退卡服务，并按照前述标准扣除已消费金额后，一次性返还预付费用余额。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5. </w:t>
      </w:r>
      <w:r>
        <w:rPr>
          <w:rFonts w:ascii="方正书宋_GBK" w:hAnsi="方正书宋_GBK" w:eastAsia="方正书宋_GBK"/>
          <w:sz w:val="22"/>
          <w:szCs w:val="22"/>
          <w:lang w:bidi="ar"/>
        </w:rPr>
        <w:t>当乙方出现以下情形之一时，甲方有权解除合同。乙方给甲方造成损失的，甲方有权要求乙方按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{赔偿标准} 赔偿甲方的实际损失。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1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隐瞒患有严重危及自己或他人安全、健康疾病的；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2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严重违反甲方公示的规章制度，经劝阻拒不改正的；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3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实施严重违反国家法律法规、危害社会秩序、公共安全和他人健康行为的；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4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乙方逾期支付预付卡费用，经甲方催告，乙方仍不支付的。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6. </w:t>
      </w:r>
      <w:r>
        <w:rPr>
          <w:rFonts w:ascii="方正书宋_GBK" w:hAnsi="方正书宋_GBK" w:eastAsia="方正书宋_GBK"/>
          <w:sz w:val="22"/>
          <w:szCs w:val="22"/>
          <w:lang w:bidi="ar"/>
        </w:rPr>
        <w:t>{退费方式}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按 {缴费退回路径};{费用承担方}退回。对于已向银行（第三方）等支付的合理手续费用等，由甲方出示相关证明材料后，由{费用承担方}承担 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 xml:space="preserve">第七条 </w:t>
      </w:r>
      <w:r>
        <w:rPr>
          <w:rFonts w:ascii="方正书宋_GBK" w:hAnsi="方正书宋_GBK" w:eastAsia="方正书宋_GBK"/>
          <w:sz w:val="22"/>
          <w:szCs w:val="22"/>
          <w:lang w:bidi="ar"/>
        </w:rPr>
        <w:t>违约责任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1.</w:t>
      </w:r>
      <w:r>
        <w:rPr>
          <w:rFonts w:eastAsia="方正书宋_GBK" w:ascii="方正书宋_GBK" w:hAnsi="方正书宋_GBK"/>
          <w:sz w:val="22"/>
          <w:szCs w:val="22"/>
          <w:lang w:bidi="ar"/>
        </w:rPr>
        <w:t xml:space="preserve">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甲方未能按约定提供商品或服务的，乙方有权要求解除合同，并要求甲方按剩余预付费用</w:t>
      </w:r>
      <w:r>
        <w:rPr>
          <w:rFonts w:eastAsia="方正书宋_GBK" w:ascii="方正书宋_GBK" w:hAnsi="方正书宋_GBK"/>
          <w:sz w:val="22"/>
          <w:szCs w:val="22"/>
          <w:u w:val="single"/>
          <w:lang w:bidi="ar"/>
        </w:rPr>
        <w:t>{违约金比</w:t>
      </w:r>
      <w:r>
        <w:rPr>
          <w:rFonts w:eastAsia="方正书宋_GBK" w:ascii="方正书宋_GBK" w:hAnsi="方正书宋_GBK"/>
          <w:sz w:val="22"/>
          <w:szCs w:val="22"/>
          <w:lang w:bidi="ar"/>
        </w:rPr>
        <w:t>例</w:t>
      </w:r>
      <w:r>
        <w:rPr>
          <w:rFonts w:ascii="方正书宋_GBK" w:hAnsi="方正书宋_GBK" w:eastAsia="方正书宋_GBK"/>
          <w:sz w:val="22"/>
          <w:szCs w:val="22"/>
          <w:lang w:bidi="ar"/>
        </w:rPr>
        <w:t>}%支付违约金并退还剩余预付费用。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乙方逾期未支付预付卡费用的，甲方有权终止或中止提供商品或服务，乙方需支付实际接受商品或服务的费用。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3.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由于{乙方原因}，无法继续接受商品或服务的，甲方不承担违约责任。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color w:val="000000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4</w:t>
      </w:r>
      <w:r>
        <w:rPr>
          <w:rFonts w:eastAsia="方正书宋_GBK"/>
          <w:sz w:val="22"/>
          <w:szCs w:val="22"/>
          <w:lang w:bidi="ar"/>
        </w:rPr>
        <w:t>．</w:t>
      </w:r>
      <w:r>
        <w:rPr>
          <w:rFonts w:ascii="方正书宋_GBK" w:hAnsi="方正书宋_GBK" w:eastAsia="方正书宋_GBK"/>
          <w:sz w:val="22"/>
          <w:szCs w:val="22"/>
          <w:lang w:bidi="ar"/>
        </w:rPr>
        <w:t>因战争、自然灾害、公共卫生事件等不可抗力致使本合同无法继续履行的，双方互不承担违约责任。受不可抗力影响的一方应在不可抗力事宜出现之日起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{通知期限} 日内书面通知对方，双方按照实际消费情况结算费用。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5. </w:t>
      </w:r>
      <w:r>
        <w:rPr>
          <w:rFonts w:ascii="方正书宋_GBK" w:hAnsi="方正书宋_GBK" w:eastAsia="方正书宋_GBK"/>
          <w:sz w:val="22"/>
          <w:szCs w:val="22"/>
          <w:lang w:bidi="ar"/>
        </w:rPr>
        <w:t>其他违约责任：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{其他违约责任}。</w:t>
      </w:r>
      <w:r>
        <w:rPr>
          <w:rFonts w:ascii="方正书宋_GBK" w:hAnsi="方正书宋_GBK" w:eastAsia="方正书宋_GBK"/>
          <w:sz w:val="22"/>
          <w:szCs w:val="22"/>
          <w:lang w:bidi="ar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>第八条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特殊约定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  <w:lang w:bidi="ar"/>
        </w:rPr>
        <w:t>__________________________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>第九条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 争议解决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双方发生争议时，可以协商解决；协商不成的，双方一致选择以下方式之一解决：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依法向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{仲裁委员会} 申请仲裁。</w:t>
      </w:r>
      <w:r>
        <w:rPr>
          <w:rFonts w:ascii="方正书宋_GBK" w:hAnsi="方正书宋_GBK" w:eastAsia="方正书宋_GBK"/>
          <w:sz w:val="22"/>
          <w:szCs w:val="22"/>
          <w:lang w:bidi="ar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依法向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{人民法院} 提起诉讼。</w:t>
      </w:r>
      <w:r>
        <w:rPr>
          <w:rFonts w:ascii="方正书宋_GBK" w:hAnsi="方正书宋_GBK" w:eastAsia="方正书宋_GBK"/>
          <w:sz w:val="22"/>
          <w:szCs w:val="22"/>
          <w:lang w:bidi="ar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 xml:space="preserve">第十条 </w:t>
      </w:r>
      <w:r>
        <w:rPr>
          <w:rFonts w:ascii="方正书宋_GBK" w:hAnsi="方正书宋_GBK" w:eastAsia="方正书宋_GBK"/>
          <w:sz w:val="22"/>
          <w:szCs w:val="22"/>
          <w:lang w:bidi="ar"/>
        </w:rPr>
        <w:t>生效约定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本合同自双方签字或盖章之日起生效。本合同一式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{份数}</w:t>
      </w:r>
      <w:r>
        <w:rPr>
          <w:rFonts w:ascii="方正书宋_GBK" w:hAnsi="方正书宋_GBK" w:eastAsia="方正书宋_GBK"/>
          <w:sz w:val="22"/>
          <w:szCs w:val="22"/>
          <w:lang w:bidi="ar"/>
        </w:rPr>
        <w:t>份，甲方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{甲方份</w:t>
      </w:r>
      <w:r>
        <w:rPr>
          <w:rFonts w:ascii="方正书宋_GBK" w:hAnsi="方正书宋_GBK" w:eastAsia="方正书宋_GBK"/>
          <w:sz w:val="22"/>
          <w:szCs w:val="22"/>
          <w:lang w:bidi="ar"/>
        </w:rPr>
        <w:t>数}份，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>乙方{乙</w:t>
      </w:r>
      <w:r>
        <w:rPr>
          <w:rFonts w:ascii="方正书宋_GBK" w:hAnsi="方正书宋_GBK" w:eastAsia="方正书宋_GBK"/>
          <w:sz w:val="22"/>
          <w:szCs w:val="22"/>
          <w:lang w:bidi="ar"/>
        </w:rPr>
        <w:t>方份数}份。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重要提示：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1. </w:t>
      </w:r>
      <w:r>
        <w:rPr>
          <w:rFonts w:ascii="方正书宋_GBK" w:hAnsi="方正书宋_GBK" w:eastAsia="方正书宋_GBK"/>
          <w:sz w:val="22"/>
          <w:szCs w:val="22"/>
          <w:lang w:bidi="ar"/>
        </w:rPr>
        <w:t>大额预付卡存在风险，请谨慎购买。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发卡人发行预付卡依法应当{备案内容}。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3. </w:t>
      </w:r>
      <w:r>
        <w:rPr>
          <w:rFonts w:ascii="方正书宋_GBK" w:hAnsi="方正书宋_GBK" w:eastAsia="方正书宋_GBK"/>
          <w:sz w:val="22"/>
          <w:szCs w:val="22"/>
          <w:lang w:bidi="ar"/>
        </w:rPr>
        <w:t>发卡人发行预付卡依法应当提供{担保}。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4. </w:t>
      </w:r>
      <w:r>
        <w:rPr>
          <w:rFonts w:ascii="方正书宋_GBK" w:hAnsi="方正书宋_GBK" w:eastAsia="方正书宋_GBK"/>
          <w:sz w:val="22"/>
          <w:szCs w:val="22"/>
          <w:lang w:bidi="ar"/>
        </w:rPr>
        <w:t>购卡人需仔细阅读本合同条款及经营者提供的其他书面材料，经确认了解无误后，再签署并交易。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  <w:lang w:bidi="ar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{甲方}：{乙方}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  <w:lang w:bidi="ar"/>
        </w:rPr>
      </w:pPr>
      <w:r>
        <w:rPr>
          <w:rFonts w:eastAsia="方正书宋_GBK" w:ascii="方正书宋_GBK" w:hAnsi="方正书宋_GBK"/>
          <w:sz w:val="22"/>
          <w:szCs w:val="22"/>
          <w:lang w:bidi="ar"/>
        </w:rPr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  <w:lang w:bidi="ar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签订时间：{签订时间}              签订时间：{签订时间}</w:t>
      </w:r>
    </w:p>
    <w:sectPr>
      <w:footerReference w:type="even" r:id="rId2"/>
      <w:footerReference w:type="default" r:id="rId3"/>
      <w:type w:val="nextPage"/>
      <w:pgSz w:w="11906" w:h="16838"/>
      <w:pgMar w:left="1588" w:right="1474" w:gutter="0" w:header="0" w:top="2098" w:footer="992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uxi Sans">
    <w:altName w:val="Times New Roman"/>
    <w:charset w:val="00" w:characterSet="windows-125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Tahoma">
    <w:charset w:val="00" w:characterSet="windows-1252"/>
    <w:family w:val="swiss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1" distT="0" distB="0" distL="114935" distR="0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3105" cy="239395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3105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firstLine="280" w:end="0"/>
                            <w:rPr/>
                          </w:pP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Style w:val="PageNumber"/>
                              <w:rFonts w:eastAsia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eastAsia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6.15pt;height:18.85pt;mso-wrap-distance-left:9.05pt;mso-wrap-distance-right:0pt;mso-wrap-distance-top:0pt;mso-wrap-distance-bottom:0pt;margin-top:0pt;mso-position-vertical-relative:text;margin-left:9.05pt;mso-position-horizontal:outside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ind w:firstLine="280" w:end="0"/>
                      <w:rPr/>
                    </w:pPr>
                    <w:r>
                      <w:rPr>
                        <w:rStyle w:val="PageNumber"/>
                        <w:sz w:val="28"/>
                        <w:szCs w:val="28"/>
                      </w:rPr>
                      <w:t>—</w:t>
                    </w:r>
                    <w:r>
                      <w:rPr>
                        <w:rStyle w:val="PageNumber"/>
                        <w:rFonts w:eastAsia="Times New Roman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t>8</w:t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Style w:val="PageNumber"/>
                        <w:rFonts w:eastAsia="Times New Roman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ind w:firstLine="360" w:end="360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0" distL="114935" distR="114935" simplePos="0" locked="0" layoutInCell="0" allowOverlap="1" relativeHeight="5">
              <wp:simplePos x="0" y="0"/>
              <wp:positionH relativeFrom="margin">
                <wp:posOffset>4930140</wp:posOffset>
              </wp:positionH>
              <wp:positionV relativeFrom="paragraph">
                <wp:posOffset>-37465</wp:posOffset>
              </wp:positionV>
              <wp:extent cx="535305" cy="23939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eastAsia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eastAsia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2.15pt;height:18.85pt;mso-wrap-distance-left:9.05pt;mso-wrap-distance-right:9.05pt;mso-wrap-distance-top:0pt;mso-wrap-distance-bottom:0pt;margin-top:-2.95pt;mso-position-vertical-relative:text;margin-left:388.2pt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sz w:val="28"/>
                        <w:szCs w:val="28"/>
                      </w:rPr>
                      <w:t>—</w:t>
                    </w:r>
                    <w:r>
                      <w:rPr>
                        <w:rFonts w:eastAsia="Times New Roman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7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eastAsia="Times New Roman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trackRevisions/>
  <w:defaultTabStop w:val="420"/>
  <w:autoHyphenation w:val="true"/>
  <w:hyphenationZone w:val="0"/>
  <w:evenAndOddHeaders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3" w:before="260" w:after="260"/>
      <w:outlineLvl w:val="1"/>
    </w:pPr>
    <w:rPr>
      <w:rFonts w:ascii="Luxi Sans;Times New Roman" w:hAnsi="Luxi Sans;Times New Roman" w:eastAsia="黑体" w:cs="Luxi Sans;Times New Roman"/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3" w:before="260" w:after="260"/>
      <w:outlineLvl w:val="2"/>
    </w:pPr>
    <w:rPr>
      <w:b/>
      <w:sz w:val="32"/>
    </w:rPr>
  </w:style>
  <w:style w:type="character" w:styleId="Style11">
    <w:name w:val="默认段落字体"/>
    <w:qFormat/>
    <w:rPr/>
  </w:style>
  <w:style w:type="character" w:styleId="PageNumber">
    <w:name w:val="page number"/>
    <w:basedOn w:val="Style11"/>
    <w:rPr/>
  </w:style>
  <w:style w:type="character" w:styleId="Hyperlink">
    <w:name w:val="Hyperlink"/>
    <w:rPr>
      <w:color w:val="0000FF"/>
      <w:u w:val="single"/>
    </w:rPr>
  </w:style>
  <w:style w:type="character" w:styleId="normal1">
    <w:name w:val="normal1"/>
    <w:basedOn w:val="Style1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宋体" w:hAnsi="宋体"/>
      <w:b/>
      <w:sz w:val="4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2">
    <w:name w:val="正文缩进"/>
    <w:basedOn w:val="Normal"/>
    <w:qFormat/>
    <w:pPr>
      <w:spacing w:lineRule="atLeast" w:line="312"/>
      <w:ind w:firstLine="420" w:start="0" w:end="0"/>
      <w:textAlignment w:val="baseline"/>
    </w:pPr>
    <w:rPr>
      <w:kern w:val="0"/>
      <w:szCs w:val="20"/>
    </w:rPr>
  </w:style>
  <w:style w:type="paragraph" w:styleId="3">
    <w:name w:val="正文文本 3"/>
    <w:basedOn w:val="Normal"/>
    <w:qFormat/>
    <w:pPr/>
    <w:rPr>
      <w:rFonts w:eastAsia="仿宋_GB2312;仿宋"/>
      <w:sz w:val="30"/>
    </w:rPr>
  </w:style>
  <w:style w:type="paragraph" w:styleId="BodyTextIndent">
    <w:name w:val="Body Text Indent"/>
    <w:basedOn w:val="Normal"/>
    <w:pPr>
      <w:ind w:firstLine="570" w:start="0" w:end="0"/>
    </w:pPr>
    <w:rPr>
      <w:rFonts w:ascii="仿宋_GB2312;仿宋" w:hAnsi="仿宋_GB2312;仿宋" w:eastAsia="仿宋_GB2312;仿宋"/>
      <w:sz w:val="32"/>
      <w:szCs w:val="28"/>
    </w:rPr>
  </w:style>
  <w:style w:type="paragraph" w:styleId="Style13">
    <w:name w:val="文本块"/>
    <w:basedOn w:val="Normal"/>
    <w:qFormat/>
    <w:pPr>
      <w:snapToGrid w:val="false"/>
      <w:spacing w:lineRule="exact" w:line="500"/>
      <w:ind w:hanging="2" w:start="-83" w:end="227"/>
    </w:pPr>
    <w:rPr>
      <w:rFonts w:ascii="仿宋_GB2312;仿宋" w:hAnsi="仿宋_GB2312;仿宋" w:eastAsia="仿宋_GB2312;仿宋"/>
      <w:sz w:val="30"/>
    </w:rPr>
  </w:style>
  <w:style w:type="paragraph" w:styleId="Style14">
    <w:name w:val="纯文本"/>
    <w:basedOn w:val="Normal"/>
    <w:qFormat/>
    <w:pPr/>
    <w:rPr>
      <w:rFonts w:ascii="宋体" w:hAnsi="宋体"/>
    </w:rPr>
  </w:style>
  <w:style w:type="paragraph" w:styleId="Style15">
    <w:name w:val="日期"/>
    <w:basedOn w:val="Normal"/>
    <w:qFormat/>
    <w:pPr>
      <w:spacing w:lineRule="auto" w:line="360"/>
      <w:ind w:firstLine="3969" w:start="0" w:end="0"/>
      <w:textAlignment w:val="baseline"/>
    </w:pPr>
    <w:rPr>
      <w:kern w:val="0"/>
      <w:sz w:val="28"/>
      <w:szCs w:val="20"/>
    </w:rPr>
  </w:style>
  <w:style w:type="paragraph" w:styleId="2">
    <w:name w:val="正文文本缩进 2"/>
    <w:basedOn w:val="Normal"/>
    <w:qFormat/>
    <w:pPr>
      <w:ind w:firstLine="200" w:start="0" w:end="0"/>
    </w:pPr>
    <w:rPr>
      <w:rFonts w:ascii="仿宋_GB2312;仿宋" w:hAnsi="仿宋_GB2312;仿宋" w:eastAsia="仿宋_GB2312;仿宋"/>
      <w:sz w:val="32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31">
    <w:name w:val="正文文本缩进 3"/>
    <w:basedOn w:val="Normal"/>
    <w:qFormat/>
    <w:pPr>
      <w:spacing w:lineRule="atLeast" w:line="500"/>
      <w:ind w:hanging="300" w:start="452" w:end="0"/>
    </w:pPr>
    <w:rPr>
      <w:rFonts w:eastAsia="仿宋_GB2312;仿宋"/>
      <w:sz w:val="32"/>
    </w:rPr>
  </w:style>
  <w:style w:type="paragraph" w:styleId="21">
    <w:name w:val="正文文本 2"/>
    <w:basedOn w:val="Normal"/>
    <w:qFormat/>
    <w:pPr>
      <w:jc w:val="center"/>
    </w:pPr>
    <w:rPr>
      <w:sz w:val="44"/>
    </w:rPr>
  </w:style>
  <w:style w:type="paragraph" w:styleId="Style17">
    <w:name w:val="普通(网站)"/>
    <w:basedOn w:val="Normal"/>
    <w:qFormat/>
    <w:pPr>
      <w:widowControl/>
      <w:spacing w:before="100" w:after="100"/>
      <w:jc w:val="start"/>
    </w:pPr>
    <w:rPr>
      <w:rFonts w:ascii="宋体" w:hAnsi="宋体" w:cs="宋体"/>
      <w:kern w:val="0"/>
      <w:sz w:val="24"/>
      <w:lang w:bidi="ar-SA"/>
    </w:rPr>
  </w:style>
  <w:style w:type="paragraph" w:styleId="CharChar">
    <w:name w:val=" Char Char"/>
    <w:basedOn w:val="Normal"/>
    <w:qFormat/>
    <w:pPr/>
    <w:rPr>
      <w:rFonts w:ascii="Tahoma" w:hAnsi="Tahoma" w:cs="Tahoma"/>
      <w:sz w:val="24"/>
      <w:lang w:bidi="ar-SA"/>
    </w:rPr>
  </w:style>
  <w:style w:type="paragraph" w:styleId="Char">
    <w:name w:val="Char"/>
    <w:basedOn w:val="Normal"/>
    <w:qFormat/>
    <w:pPr>
      <w:spacing w:lineRule="auto" w:line="360"/>
    </w:pPr>
    <w:rPr>
      <w:rFonts w:ascii="宋体" w:hAnsi="宋体"/>
      <w:sz w:val="24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2012-08-18T08:44:00Z</dcterms:created>
  <dc:creator>sl</dc:creator>
  <dc:description/>
  <dc:language>zh-CN</dc:language>
  <cp:lastModifiedBy>易琴</cp:lastModifiedBy>
  <cp:lastPrinted>2022-07-05T10:33:00Z</cp:lastPrinted>
  <dcterms:modified xsi:type="dcterms:W3CDTF">2022-08-30T10:47:37Z</dcterms:modified>
  <cp:revision>38</cp:revision>
  <dc:subject/>
  <dc:title>苏外经贸〔2001〕号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