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pageBreakBefore w:val="false"/>
        <w:widowControl w:val="false"/>
        <w:tabs>
          <w:tab w:val="clear" w:pos="420"/>
          <w:tab w:val="left" w:pos="-720" w:leader="none"/>
        </w:tabs>
        <w:kinsoku w:val="true"/>
        <w:overflowPunct w:val="true"/>
        <w:autoSpaceDE w:val="true"/>
        <w:bidi w:val="0"/>
        <w:snapToGrid w:val="true"/>
        <w:spacing w:lineRule="auto" w:line="240" w:before="0" w:after="0"/>
        <w:ind w:firstLine="4830" w:end="0"/>
        <w:jc w:val="both"/>
        <w:textAlignment w:val="auto"/>
        <w:rPr>
          <w:rFonts w:ascii="仿宋_GB2312" w:hAnsi="仿宋_GB2312" w:eastAsia="仿宋_GB2312" w:cs="仿宋_GB2312"/>
          <w:sz w:val="21"/>
          <w:szCs w:val="21"/>
          <w:lang w:eastAsia="zh-CN"/>
        </w:rPr>
      </w:pPr>
      <w:r>
        <w:rPr>
          <w:rFonts w:ascii="仿宋_GB2312" w:hAnsi="仿宋_GB2312" w:cs="仿宋_GB2312" w:eastAsia="仿宋_GB2312"/>
          <w:sz w:val="21"/>
          <w:szCs w:val="21"/>
          <w:lang w:val="en-US" w:eastAsia="zh-CN"/>
        </w:rPr>
        <w:t>合</w:t>
      </w:r>
      <w:r>
        <w:rPr>
          <w:rFonts w:ascii="仿宋_GB2312" w:hAnsi="仿宋_GB2312" w:cs="仿宋_GB2312" w:eastAsia="仿宋_GB2312"/>
          <w:sz w:val="21"/>
          <w:szCs w:val="21"/>
          <w:lang w:eastAsia="zh-CN"/>
        </w:rPr>
        <w:t>同编号:</w:t>
      </w:r>
      <w:r>
        <w:rPr>
          <w:rFonts w:eastAsia="仿宋_GB2312" w:cs="仿宋_GB2312" w:ascii="仿宋_GB2312" w:hAnsi="仿宋_GB2312"/>
          <w:sz w:val="21"/>
          <w:szCs w:val="21"/>
          <w:lang w:eastAsia="zh-CN"/>
        </w:rPr>
        <w:t xml:space="preserve"> {合同编号}</w:t>
      </w:r>
    </w:p>
    <w:p>
      <w:pPr>
        <w:pStyle w:val="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240" w:before="0" w:after="0"/>
        <w:ind w:end="0"/>
        <w:jc w:val="center"/>
        <w:textAlignment w:val="auto"/>
        <w:rPr>
          <w:rFonts w:ascii="宋体" w:hAnsi="宋体" w:eastAsia="宋体" w:cs="宋体"/>
          <w:b/>
          <w:bCs/>
          <w:color w:val="000000"/>
          <w:sz w:val="44"/>
          <w:szCs w:val="44"/>
          <w:lang w:eastAsia="zh-CN"/>
        </w:rPr>
      </w:pPr>
      <w:r>
        <w:rPr>
          <w:rFonts w:ascii="宋体" w:hAnsi="宋体" w:cs="宋体" w:eastAsia="宋体"/>
          <w:b/>
          <w:bCs/>
          <w:sz w:val="44"/>
          <w:szCs w:val="44"/>
          <w:lang w:eastAsia="zh-CN"/>
        </w:rPr>
        <w:t>沈阳二手车交易合同（</w:t>
      </w:r>
      <w:r>
        <w:rPr>
          <w:rFonts w:ascii="宋体" w:hAnsi="宋体" w:cs="宋体" w:eastAsia="宋体"/>
          <w:b/>
          <w:bCs/>
          <w:color w:val="000000"/>
          <w:sz w:val="44"/>
          <w:szCs w:val="44"/>
          <w:lang w:eastAsia="zh-CN"/>
        </w:rPr>
        <w:t>示范文本）</w:t>
      </w:r>
    </w:p>
    <w:p>
      <w:pPr>
        <w:pStyle w:val="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 w:before="0" w:after="0"/>
        <w:ind w:firstLine="442" w:end="0"/>
        <w:jc w:val="center"/>
        <w:textAlignment w:val="auto"/>
        <w:rPr>
          <w:rFonts w:ascii="宋体" w:hAnsi="宋体" w:eastAsia="宋体" w:cs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 w:cs="宋体" w:ascii="宋体" w:hAnsi="宋体"/>
          <w:b/>
          <w:bCs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依据《中华人民共和国民法典》《二手车流通管理办法》等有关法律、规章规定，甲、乙双方在自愿、公平和协商一致的基础上，就二手车交易和完成相关事项，签订本合同。本合同内容可作为相关单位合同电子化采集范本。</w:t>
      </w:r>
    </w:p>
    <w:p>
      <w:pPr>
        <w:pStyle w:val="11"/>
        <w:pageBreakBefore w:val="false"/>
        <w:widowControl w:val="false"/>
        <w:tabs>
          <w:tab w:val="clear" w:pos="420"/>
          <w:tab w:val="left" w:pos="6102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{甲方（卖方）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}：</w:t>
      </w:r>
    </w:p>
    <w:p>
      <w:pPr>
        <w:pStyle w:val="11"/>
        <w:pageBreakBefore w:val="false"/>
        <w:widowControl w:val="false"/>
        <w:tabs>
          <w:tab w:val="clear" w:pos="420"/>
          <w:tab w:val="left" w:pos="6102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{乙方（买方）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}：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第一条 {当事人情况}</w:t>
      </w:r>
    </w:p>
    <w:p>
      <w:pPr>
        <w:pStyle w:val="11"/>
        <w:pageBreakBefore w:val="false"/>
        <w:widowControl w:val="false"/>
        <w:tabs>
          <w:tab w:val="clear" w:pos="420"/>
          <w:tab w:val="left" w:pos="772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bookmarkStart w:id="0" w:name="bookmark3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</w:t>
      </w:r>
      <w:bookmarkEnd w:id="0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、甲方基本情况：</w:t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社会统一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信用代码（或身份证明号码）: {代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码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}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地址: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{地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址}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，联系电话: {联系电话}，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代理人: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 {代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理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人姓名}，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身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份证号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码: {身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份证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号码}，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联系电话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：{联系电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话}。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772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bookmarkStart w:id="1" w:name="bookmark4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</w:t>
      </w:r>
      <w:bookmarkEnd w:id="1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、{乙方基本情况}：</w:t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bookmarkStart w:id="2" w:name="bookmark5"/>
      <w:bookmarkEnd w:id="2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社会统一信用代码（或身份证明号码）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{代码}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地址: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{地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址}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, 联系电话: {联系电话}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772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代理人: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 {代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理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人姓名}，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身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份证号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码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: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{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身份证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号码}，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联系电话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：{联系电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话}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第二条 {车辆情况}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start="382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single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号牌号码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 xml:space="preserve">: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{号牌号码}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 车辆类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型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: {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车辆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类型}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    厂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牌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、型号: {厂牌型号}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车辆识别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代号: {车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辆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识别代号}      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发动机号码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{发动机号码}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6102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初次登记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日期：{初次登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记日期}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    登记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证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书编号: {登记证书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编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号}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   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车身颜色: {车身颜色}</w:t>
      </w:r>
    </w:p>
    <w:p>
      <w:pPr>
        <w:pStyle w:val="11"/>
        <w:pageBreakBefore w:val="false"/>
        <w:widowControl w:val="false"/>
        <w:tabs>
          <w:tab w:val="clear" w:pos="420"/>
          <w:tab w:val="left" w:pos="480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使用性质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: {使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用性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质} 使用年限至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>{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年}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 年 {月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} 月 {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日}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表显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里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程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: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{表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显里程}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k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>m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2370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检验有效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期至{日期}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车辆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交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强险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至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{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期}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车辆商业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险种类：{保险种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类} 有效期至 {年} 年 {月} 月 {日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} 日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全程4S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店保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>养：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{是/否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>}，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车辆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>维修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、保养记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录至少{年}年{月}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月，钥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匙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数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量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{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数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量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}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车辆事故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情况描述（是否发生过严重撞击、泡水、火烧、发动机改动）：{车辆事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故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情况}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single"/>
          <w:lang w:val="en-US"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车辆是否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 xml:space="preserve">具有评估（认证）报告书：( 是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 xml:space="preserve">/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否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>），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机构名称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：{机构名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称}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车辆质保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期限：{质保期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限}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质保范围：{质保范围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none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其他情况：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{其他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情况描述}</w:t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val="en-US"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val="en-US" w:eastAsia="zh-CN"/>
        </w:rPr>
        <w:t xml:space="preserve">第三条 </w:t>
      </w: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车辆价款和{支付方式}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车辆价款为（人民币）：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{车辆价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款} 元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（大写 {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大写金额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} 元）。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single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车辆转移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登记费用（人民币）：{费用金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额}元，由{承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担方}方承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担。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乙方应于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合同签订时，向甲方支付定金（人民币）：{金额}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元（大写{大写金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额}元）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。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自转移登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记手续完成{日期}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>日内，应向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>甲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方支付车辆剩余价款（人民币）：{金额}元。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第四条 车辆交付、过户手续</w:t>
      </w:r>
    </w:p>
    <w:p>
      <w:pPr>
        <w:pStyle w:val="11"/>
        <w:pageBreakBefore w:val="false"/>
        <w:widowControl w:val="false"/>
        <w:tabs>
          <w:tab w:val="clear" w:pos="420"/>
          <w:tab w:val="left" w:pos="4935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一、车辆交付时间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{交付时间} 。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  <w:tab w:val="left" w:pos="3189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二、甲乙双方应于本合同签订后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{备齐材料所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需天数} 日内，备齐车辆相关材料办理转移登记手续。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第五条 {双方的权利和义务}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一、甲方对车辆的所有权或处置权的合法性负责。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二、甲方应如实告知乙方车辆基本情况，并对其真实性负责。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三、对转出本市的车辆，乙方应对确认买受车辆可在转入所在地办理转入手续负责。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四、双方应对其提供的车辆转移登记所需材料的真实性、有效性负责。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第六条 {</w:t>
      </w: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val="en-US" w:eastAsia="zh-CN"/>
        </w:rPr>
        <w:t>其</w:t>
      </w: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他约定}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u w:val="single"/>
          <w:lang w:val="en-US"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第七条 违约责任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一、甲方逾期交付车辆的，乙方有权解除本合同，定金双倍返还，或每天按车辆价款的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{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违约金比例}%向乙方支付违约金。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二、乙方逾期支付车辆价款的，甲方有权解除本合同，定金不予返还，或每天按逾期支付部分价款的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{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违约金比例}%向甲方支付违约金。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三、任何一方未按合同约定提供办理转移登记手续所需材料，致使合同延期履行的，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lang w:eastAsia="zh-CN"/>
        </w:rPr>
        <w:t>违约方应每天按车辆价款的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b w:val="false"/>
          <w:bCs w:val="false"/>
          <w:color w:val="000000"/>
          <w:sz w:val="22"/>
          <w:szCs w:val="22"/>
          <w:lang w:eastAsia="zh-CN"/>
        </w:rPr>
        <w:t>{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lang w:eastAsia="zh-CN"/>
        </w:rPr>
        <w:t>违约金比例}%向守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约方支付违约金。任何一方因提供车辆相关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材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料不符合要求,致使无法办理转移登记手续的，守约方有权解除本合同，给守约方造成损失的，</w:t>
      </w:r>
      <w:r>
        <w:rPr>
          <w:rFonts w:ascii="仿宋_GB2312" w:hAnsi="仿宋_GB2312" w:cs="仿宋_GB2312" w:eastAsia="仿宋_GB2312"/>
          <w:b/>
          <w:bCs/>
          <w:color w:val="000000"/>
          <w:sz w:val="22"/>
          <w:szCs w:val="22"/>
          <w:lang w:eastAsia="zh-CN"/>
        </w:rPr>
        <w:t>违约方应予赔偿。</w:t>
      </w:r>
    </w:p>
    <w:p>
      <w:pPr>
        <w:pStyle w:val="11"/>
        <w:pageBreakBefore w:val="false"/>
        <w:widowControl w:val="false"/>
        <w:tabs>
          <w:tab w:val="clear" w:pos="420"/>
          <w:tab w:val="left" w:pos="778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四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、因乙方原因致使车辆不能办理入籍手续的，乙方自行承担相应责任，乙方改变车辆入籍地的，甲方应协助配合。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五、甲方提供的车辆基本情况不真实，给乙方造成损失的，甲方应予赔偿。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highlight w:val="none"/>
          <w:lang w:val="en-US" w:eastAsia="zh-CN"/>
        </w:rPr>
      </w:pPr>
      <w:r>
        <w:rPr>
          <w:rFonts w:ascii="仿宋_GB2312" w:hAnsi="仿宋_GB2312" w:cs="仿宋_GB2312" w:eastAsia="仿宋_GB2312"/>
          <w:b/>
          <w:bCs/>
          <w:color w:val="000000"/>
          <w:sz w:val="22"/>
          <w:szCs w:val="22"/>
          <w:lang w:eastAsia="zh-CN"/>
        </w:rPr>
        <w:t>第八条</w:t>
      </w:r>
      <w:r>
        <w:rPr>
          <w:rFonts w:ascii="仿宋_GB2312" w:hAnsi="仿宋_GB2312" w:cs="仿宋_GB2312" w:eastAsia="仿宋_GB2312"/>
          <w:b/>
          <w:bCs/>
          <w:color w:val="000000"/>
          <w:sz w:val="22"/>
          <w:szCs w:val="22"/>
          <w:lang w:val="en-US" w:eastAsia="zh-CN"/>
        </w:rPr>
        <w:t xml:space="preserve"> {争议解决方式}</w:t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sz w:val="22"/>
          <w:szCs w:val="22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双方发生争议的，可协商解决，不愿协商或通过协商未能解决的，按下列第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>{争议解决方式}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种方式解决（只能选择一种）：</w:t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sz w:val="22"/>
          <w:szCs w:val="22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一、提交沈阳仲裁委员会（仲裁地点为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 xml:space="preserve"> {仲裁地点} ），按照申请仲裁时该会现行有效的仲裁规则进行仲裁；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二、向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 xml:space="preserve"> {方所在地} 有管辖权的人民法院起诉；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none"/>
          <w:lang w:val="en-US" w:eastAsia="zh-CN" w:bidi="ar"/>
        </w:rPr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sz w:val="22"/>
          <w:szCs w:val="22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三、其他方式：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>{其他方式}。如本合同未能选择争议解决方式，视为双方均同意向沈阳仲裁委员会申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none"/>
          <w:lang w:val="en-US" w:eastAsia="zh-CN" w:bidi="ar"/>
        </w:rPr>
        <w:t>请仲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裁。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sz w:val="22"/>
          <w:szCs w:val="22"/>
          <w:lang w:eastAsia="zh-CN"/>
        </w:rPr>
        <w:t>第九条 {附则}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val="en-US"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本合同经甲乙双方{签字或盖章}后生效。本合同一式三份，甲乙双方各执一份，二手车交易市场留存一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份。合同编号共十五位，组成为城市首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字母{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城市首字母}-市场主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体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代码（四位）-交易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年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月日（六位）-序号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（三位），例：{城市首字母}-1001-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20230315-001。</w:t>
      </w:r>
    </w:p>
    <w:p>
      <w:pPr>
        <w:pStyle w:val="11"/>
        <w:keepNext w:val="true"/>
        <w:keepLines/>
        <w:pageBreakBefore w:val="false"/>
        <w:widowControl w:val="false"/>
        <w:tabs>
          <w:tab w:val="clear" w:pos="420"/>
          <w:tab w:val="left" w:pos="2741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{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甲方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}：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{乙方}：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tabs>
          <w:tab w:val="clear" w:pos="420"/>
          <w:tab w:val="left" w:pos="2710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代理人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>: {代理人姓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名}                  代理人: {代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>理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人姓名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>}</w:t>
      </w:r>
    </w:p>
    <w:p>
      <w:pPr>
        <w:pStyle w:val="11"/>
        <w:pageBreakBefore w:val="false"/>
        <w:widowControl w:val="false"/>
        <w:tabs>
          <w:tab w:val="clear" w:pos="420"/>
          <w:tab w:val="left" w:pos="2710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签约时间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 xml:space="preserve">:      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{年}{月}{日}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 xml:space="preserve"> 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        签约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 xml:space="preserve">时间: 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 xml:space="preserve">      {年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}{月}{日}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</w:r>
    </w:p>
    <w:p>
      <w:pPr>
        <w:pStyle w:val="Normal"/>
        <w:tabs>
          <w:tab w:val="clear" w:pos="420"/>
          <w:tab w:val="left" w:pos="5394" w:leader="none"/>
        </w:tabs>
        <w:bidi w:val="0"/>
        <w:ind w:firstLine="1767" w:end="0"/>
        <w:jc w:val="start"/>
        <w:rPr>
          <w:rFonts w:ascii="仿宋_GB2312" w:hAnsi="仿宋_GB2312" w:eastAsia="仿宋_GB2312" w:cs="仿宋_GB2312"/>
          <w:b/>
          <w:bCs/>
          <w:sz w:val="22"/>
          <w:szCs w:val="22"/>
          <w:lang w:eastAsia="zh-CN"/>
        </w:rPr>
      </w:pPr>
      <w:r>
        <w:rPr>
          <w:rFonts w:eastAsia="仿宋_GB2312" w:cs="仿宋_GB2312" w:ascii="仿宋_GB2312" w:hAnsi="仿宋_GB2312"/>
          <w:b/>
          <w:bCs/>
          <w:sz w:val="22"/>
          <w:szCs w:val="22"/>
          <w:lang w:eastAsia="zh-CN"/>
        </w:rPr>
      </w:r>
      <w:bookmarkStart w:id="3" w:name="bookmark5"/>
      <w:bookmarkStart w:id="4" w:name="bookmark5"/>
      <w:bookmarkEnd w:id="4"/>
    </w:p>
    <w:p>
      <w:pPr>
        <w:pStyle w:val="Normal"/>
        <w:tabs>
          <w:tab w:val="clear" w:pos="420"/>
          <w:tab w:val="left" w:pos="5394" w:leader="none"/>
        </w:tabs>
        <w:bidi w:val="0"/>
        <w:ind w:firstLine="1767" w:end="0"/>
        <w:jc w:val="start"/>
        <w:rPr>
          <w:rFonts w:ascii="仿宋_GB2312" w:hAnsi="仿宋_GB2312" w:eastAsia="仿宋_GB2312" w:cs="仿宋_GB2312"/>
          <w:b/>
          <w:bCs/>
          <w:sz w:val="22"/>
          <w:szCs w:val="22"/>
          <w:lang w:eastAsia="zh-CN"/>
        </w:rPr>
      </w:pPr>
      <w:r>
        <w:rPr>
          <w:rFonts w:eastAsia="仿宋_GB2312" w:cs="仿宋_GB2312" w:ascii="仿宋_GB2312" w:hAnsi="仿宋_GB2312"/>
          <w:b/>
          <w:bCs/>
          <w:sz w:val="22"/>
          <w:szCs w:val="22"/>
          <w:lang w:eastAsia="zh-CN"/>
        </w:rPr>
      </w:r>
    </w:p>
    <w:p>
      <w:pPr>
        <w:pStyle w:val="Normal"/>
        <w:tabs>
          <w:tab w:val="clear" w:pos="420"/>
          <w:tab w:val="left" w:pos="5394" w:leader="none"/>
        </w:tabs>
        <w:bidi w:val="0"/>
        <w:ind w:firstLine="1767" w:end="0"/>
        <w:jc w:val="start"/>
        <w:rPr/>
      </w:pPr>
      <w:r>
        <w:rPr>
          <w:rFonts w:ascii="仿宋_GB2312" w:hAnsi="仿宋_GB2312" w:cs="仿宋_GB2312" w:eastAsia="仿宋_GB2312"/>
          <w:b/>
          <w:bCs/>
          <w:sz w:val="22"/>
          <w:szCs w:val="22"/>
          <w:lang w:eastAsia="zh-CN"/>
        </w:rPr>
        <w:t>（沈阳市商务局</w:t>
      </w:r>
      <w:r>
        <w:rPr>
          <w:rFonts w:ascii="仿宋_GB2312" w:hAnsi="仿宋_GB2312" w:cs="仿宋_GB2312" w:eastAsia="仿宋_GB2312"/>
          <w:b/>
          <w:bCs/>
          <w:sz w:val="22"/>
          <w:szCs w:val="22"/>
          <w:lang w:val="en-US" w:eastAsia="zh-CN"/>
        </w:rPr>
        <w:t>、沈阳市市场监督管理局联合制定</w:t>
      </w:r>
      <w:r>
        <w:rPr>
          <w:rFonts w:ascii="仿宋_GB2312" w:hAnsi="仿宋_GB2312" w:cs="仿宋_GB2312" w:eastAsia="仿宋_GB2312"/>
          <w:b/>
          <w:bCs/>
          <w:sz w:val="22"/>
          <w:szCs w:val="22"/>
          <w:lang w:eastAsia="zh-CN"/>
        </w:rPr>
        <w:t>）</w:t>
      </w:r>
    </w:p>
    <w:sectPr>
      <w:type w:val="nextPage"/>
      <w:pgSz w:w="11906" w:h="16838"/>
      <w:pgMar w:left="1474" w:right="1361" w:gutter="0" w:header="0" w:top="1984" w:footer="0" w:bottom="1417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ingLiU">
    <w:altName w:val="MS Gothic"/>
    <w:charset w:val="00" w:characterSet="windows-1252"/>
    <w:family w:val="modern"/>
    <w:pitch w:val="default"/>
  </w:font>
  <w:font w:name="微软雅黑">
    <w:charset w:val="86"/>
    <w:family w:val="auto"/>
    <w:pitch w:val="default"/>
  </w:font>
  <w:font w:name="仿宋_GB2312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YjMzYzM5ZjY1MmVmZTMxN2VlZDg3MDM1ZmE0ZTQ4ZDg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font41">
    <w:name w:val="font41"/>
    <w:basedOn w:val="Style14"/>
    <w:qFormat/>
    <w:rPr>
      <w:rFonts w:ascii="宋体" w:hAnsi="宋体" w:eastAsia="宋体" w:cs="宋体"/>
      <w:color w:val="000000"/>
      <w:sz w:val="22"/>
      <w:szCs w:val="22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标题 #2"/>
    <w:basedOn w:val="Normal"/>
    <w:qFormat/>
    <w:pPr>
      <w:spacing w:before="0" w:after="300"/>
      <w:outlineLvl w:val="1"/>
    </w:pPr>
    <w:rPr>
      <w:rFonts w:ascii="MingLiU;MS Gothic" w:hAnsi="MingLiU;MS Gothic" w:eastAsia="MingLiU;MS Gothic" w:cs="MingLiU;MS Gothic"/>
      <w:sz w:val="18"/>
      <w:szCs w:val="18"/>
    </w:rPr>
  </w:style>
  <w:style w:type="paragraph" w:styleId="1">
    <w:name w:val="标题 #1"/>
    <w:basedOn w:val="Normal"/>
    <w:qFormat/>
    <w:pPr>
      <w:spacing w:before="0" w:after="340"/>
      <w:jc w:val="center"/>
      <w:outlineLvl w:val="0"/>
    </w:pPr>
    <w:rPr>
      <w:rFonts w:ascii="微软雅黑" w:hAnsi="微软雅黑" w:eastAsia="微软雅黑" w:cs="微软雅黑"/>
      <w:sz w:val="28"/>
      <w:szCs w:val="28"/>
    </w:rPr>
  </w:style>
  <w:style w:type="paragraph" w:styleId="11">
    <w:name w:val="正文文本1"/>
    <w:basedOn w:val="Normal"/>
    <w:qFormat/>
    <w:pPr>
      <w:spacing w:lineRule="auto" w:line="317"/>
      <w:ind w:firstLine="340" w:start="0" w:end="0"/>
    </w:pPr>
    <w:rPr>
      <w:rFonts w:ascii="MingLiU;MS Gothic" w:hAnsi="MingLiU;MS Gothic" w:eastAsia="MingLiU;MS Gothic" w:cs="MingLiU;MS Gothic"/>
      <w:sz w:val="17"/>
      <w:szCs w:val="17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36000</TotalTime>
  <Application>LibreOffice/25.2.2.2$MacOSX_AARCH64 LibreOffice_project/7370d4be9e3cf6031a51beef54ff3bda878e3fac</Application>
  <AppVersion>15.0000</AppVersion>
  <Pages>3</Pages>
  <Words>1400</Words>
  <Characters>1423</Characters>
  <CharactersWithSpaces>3040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2014-11-04T20:08:00Z</dcterms:created>
  <dc:creator>Administrator</dc:creator>
  <dc:description/>
  <dc:language>zh-CN</dc:language>
  <cp:lastModifiedBy>宋阳</cp:lastModifiedBy>
  <cp:lastPrinted>2023-03-16T01:10:00Z</cp:lastPrinted>
  <dcterms:modified xsi:type="dcterms:W3CDTF">2023-07-06T17:19:00Z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395F6700E64B4FBB87D80F1B96CCABFE_12</vt:lpwstr>
  </property>
  <property fmtid="{D5CDD505-2E9C-101B-9397-08002B2CF9AE}" pid="3" name="KSOProductBuildVer">
    <vt:lpwstr>2052-11.1.0.14309</vt:lpwstr>
  </property>
</Properties>
</file>