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061" w:type="dxa"/>
        <w:jc w:val="start"/>
        <w:tblInd w:w="0" w:type="dxa"/>
        <w:tblLayout w:type="fixed"/>
        <w:tblCellMar>
          <w:top w:w="0" w:type="dxa"/>
          <w:start w:w="108" w:type="dxa"/>
          <w:bottom w:w="0" w:type="dxa"/>
          <w:end w:w="108" w:type="dxa"/>
        </w:tblCellMar>
      </w:tblPr>
      <w:tblGrid>
        <w:gridCol w:w="4530"/>
        <w:gridCol w:w="4531"/>
      </w:tblGrid>
      <w:tr>
        <w:trPr>
          <w:trHeight w:val="1986" w:hRule="exact"/>
        </w:trPr>
        <w:tc>
          <w:tcPr>
            <w:tcW w:w="4530" w:type="dxa"/>
            <w:tcBorders/>
          </w:tcPr>
          <w:p>
            <w:pPr>
              <w:pStyle w:val="Normal"/>
              <w:snapToGrid w:val="false"/>
              <w:spacing w:lineRule="exact" w:line="664"/>
              <w:rPr>
                <w:sz w:val="32"/>
                <w:szCs w:val="32"/>
              </w:rPr>
            </w:pPr>
            <w:r>
              <w:rPr>
                <w:sz w:val="32"/>
                <w:szCs w:val="32"/>
              </w:rPr>
            </w:r>
          </w:p>
          <w:p>
            <w:pPr>
              <w:pStyle w:val="Normal"/>
              <w:snapToGrid w:val="false"/>
              <w:spacing w:lineRule="exact" w:line="664"/>
              <w:rPr>
                <w:sz w:val="32"/>
                <w:szCs w:val="32"/>
              </w:rPr>
            </w:pPr>
            <w:r>
              <w:rPr>
                <w:sz w:val="32"/>
                <w:szCs w:val="32"/>
              </w:rPr>
            </w:r>
          </w:p>
          <w:p>
            <w:pPr>
              <w:pStyle w:val="Normal"/>
              <w:snapToGrid w:val="false"/>
              <w:spacing w:lineRule="exact" w:line="592"/>
              <w:rPr>
                <w:sz w:val="32"/>
                <w:szCs w:val="32"/>
              </w:rPr>
            </w:pPr>
            <w:r>
              <w:rPr>
                <w:sz w:val="32"/>
                <w:szCs w:val="32"/>
              </w:rPr>
            </w:r>
          </w:p>
        </w:tc>
        <w:tc>
          <w:tcPr>
            <w:tcW w:w="4531" w:type="dxa"/>
            <w:tcBorders/>
          </w:tcPr>
          <w:p>
            <w:pPr>
              <w:pStyle w:val="Normal"/>
              <w:snapToGrid w:val="false"/>
              <w:jc w:val="end"/>
              <w:rPr>
                <w:sz w:val="32"/>
                <w:szCs w:val="32"/>
              </w:rPr>
            </w:pPr>
            <w:r>
              <w:rPr>
                <w:sz w:val="32"/>
                <w:szCs w:val="32"/>
              </w:rPr>
            </w:r>
          </w:p>
        </w:tc>
      </w:tr>
      <w:tr>
        <w:trPr>
          <w:trHeight w:val="1701" w:hRule="exact"/>
        </w:trPr>
        <w:tc>
          <w:tcPr>
            <w:tcW w:w="9061" w:type="dxa"/>
            <w:gridSpan w:val="2"/>
            <w:tcBorders/>
          </w:tcPr>
          <w:p>
            <w:pPr>
              <w:pStyle w:val="Normal"/>
              <w:snapToGrid w:val="false"/>
              <w:jc w:val="center"/>
              <w:rPr>
                <w:rFonts w:ascii="公文小标宋简;方正小标宋_GBK" w:hAnsi="公文小标宋简;方正小标宋_GBK" w:eastAsia="公文小标宋简;方正小标宋_GBK" w:cs="华文宋体;方正书宋_GBK"/>
                <w:b/>
                <w:color w:val="FF0000"/>
                <w:spacing w:val="39"/>
                <w:w w:val="19"/>
                <w:kern w:val="0"/>
                <w:sz w:val="132"/>
                <w:szCs w:val="132"/>
              </w:rPr>
            </w:pPr>
            <w:r>
              <w:rPr>
                <w:rFonts w:ascii="公文小标宋简;方正小标宋_GBK" w:hAnsi="公文小标宋简;方正小标宋_GBK" w:cs="华文宋体;方正书宋_GBK" w:eastAsia="公文小标宋简;方正小标宋_GBK"/>
                <w:b/>
                <w:color w:val="FF0000"/>
                <w:spacing w:val="3"/>
                <w:w w:val="54"/>
                <w:kern w:val="0"/>
                <w:sz w:val="132"/>
                <w:szCs w:val="132"/>
              </w:rPr>
              <w:t>湖北省工商行政管理局文</w:t>
            </w:r>
            <w:r>
              <w:rPr>
                <w:rFonts w:ascii="公文小标宋简;方正小标宋_GBK" w:hAnsi="公文小标宋简;方正小标宋_GBK" w:cs="华文宋体;方正书宋_GBK" w:eastAsia="公文小标宋简;方正小标宋_GBK"/>
                <w:b/>
                <w:color w:val="FF0000"/>
                <w:spacing w:val="-11"/>
                <w:w w:val="54"/>
                <w:kern w:val="0"/>
                <w:sz w:val="132"/>
                <w:szCs w:val="132"/>
              </w:rPr>
              <w:t>件</w:t>
            </w:r>
          </w:p>
        </w:tc>
      </w:tr>
      <w:tr>
        <w:trPr>
          <w:trHeight w:val="1131" w:hRule="exact"/>
        </w:trPr>
        <w:tc>
          <w:tcPr>
            <w:tcW w:w="9061" w:type="dxa"/>
            <w:gridSpan w:val="2"/>
            <w:tcBorders/>
          </w:tcPr>
          <w:p>
            <w:pPr>
              <w:pStyle w:val="Normal"/>
              <w:snapToGrid w:val="false"/>
              <w:spacing w:lineRule="exact" w:line="474"/>
              <w:rPr>
                <w:rFonts w:ascii="仿宋_GB2312;方正仿宋_GBK" w:hAnsi="仿宋_GB2312;方正仿宋_GBK" w:eastAsia="仿宋_GB2312;方正仿宋_GBK" w:cs="华文宋体;方正书宋_GBK"/>
                <w:b/>
                <w:color w:val="FF0000"/>
                <w:spacing w:val="39"/>
                <w:w w:val="19"/>
                <w:kern w:val="0"/>
                <w:sz w:val="32"/>
                <w:szCs w:val="32"/>
              </w:rPr>
            </w:pPr>
            <w:r>
              <w:rPr>
                <w:rFonts w:eastAsia="仿宋_GB2312;方正仿宋_GBK" w:cs="华文宋体;方正书宋_GBK" w:ascii="仿宋_GB2312;方正仿宋_GBK" w:hAnsi="仿宋_GB2312;方正仿宋_GBK"/>
                <w:b/>
                <w:color w:val="FF0000"/>
                <w:spacing w:val="39"/>
                <w:w w:val="19"/>
                <w:kern w:val="0"/>
                <w:sz w:val="32"/>
                <w:szCs w:val="32"/>
              </w:rPr>
            </w:r>
          </w:p>
          <w:p>
            <w:pPr>
              <w:pStyle w:val="Normal"/>
              <w:snapToGrid w:val="false"/>
              <w:spacing w:lineRule="exact" w:line="474"/>
              <w:rPr>
                <w:rFonts w:ascii="仿宋_GB2312;方正仿宋_GBK" w:hAnsi="仿宋_GB2312;方正仿宋_GBK" w:eastAsia="仿宋_GB2312;方正仿宋_GBK"/>
                <w:sz w:val="32"/>
                <w:szCs w:val="32"/>
              </w:rPr>
            </w:pPr>
            <w:r>
              <w:rPr>
                <w:rFonts w:eastAsia="仿宋_GB2312;方正仿宋_GBK" w:ascii="仿宋_GB2312;方正仿宋_GBK" w:hAnsi="仿宋_GB2312;方正仿宋_GBK"/>
                <w:sz w:val="32"/>
                <w:szCs w:val="32"/>
              </w:rPr>
            </w:r>
          </w:p>
          <w:p>
            <w:pPr>
              <w:pStyle w:val="Normal"/>
              <w:rPr>
                <w:rFonts w:ascii="仿宋_GB2312;方正仿宋_GBK" w:hAnsi="仿宋_GB2312;方正仿宋_GBK" w:eastAsia="仿宋_GB2312;方正仿宋_GBK"/>
                <w:sz w:val="32"/>
                <w:szCs w:val="32"/>
              </w:rPr>
            </w:pPr>
            <w:r>
              <w:rPr>
                <w:rFonts w:eastAsia="仿宋_GB2312;方正仿宋_GBK" w:ascii="仿宋_GB2312;方正仿宋_GBK" w:hAnsi="仿宋_GB2312;方正仿宋_GBK"/>
                <w:sz w:val="32"/>
                <w:szCs w:val="32"/>
              </w:rPr>
            </w:r>
          </w:p>
        </w:tc>
      </w:tr>
      <w:tr>
        <w:trPr>
          <w:trHeight w:val="465" w:hRule="atLeast"/>
        </w:trPr>
        <w:tc>
          <w:tcPr>
            <w:tcW w:w="9061" w:type="dxa"/>
            <w:gridSpan w:val="2"/>
            <w:tcBorders/>
          </w:tcPr>
          <w:p>
            <w:pPr>
              <w:pStyle w:val="Normal"/>
              <w:snapToGrid w:val="false"/>
              <w:spacing w:lineRule="exact" w:line="592"/>
              <w:ind w:firstLine="320" w:end="0"/>
              <w:jc w:val="center"/>
              <w:rPr>
                <w:rFonts w:ascii="公文小标宋简;方正小标宋_GBK" w:hAnsi="公文小标宋简;方正小标宋_GBK" w:eastAsia="公文小标宋简;方正小标宋_GBK"/>
                <w:sz w:val="32"/>
                <w:szCs w:val="32"/>
              </w:rPr>
            </w:pPr>
            <w:r>
              <w:rPr>
                <w:rFonts w:ascii="公文小标宋简;方正小标宋_GBK" w:hAnsi="公文小标宋简;方正小标宋_GBK" w:eastAsia="仿宋_GB2312;方正仿宋_GBK"/>
                <w:sz w:val="32"/>
                <w:szCs w:val="32"/>
              </w:rPr>
              <w:t>鄂工商</w:t>
            </w:r>
            <w:r>
              <w:rPr>
                <w:rFonts w:ascii="仿宋_GB2312;方正仿宋_GBK" w:hAnsi="仿宋_GB2312;方正仿宋_GBK" w:eastAsia="仿宋_GB2312;方正仿宋_GBK"/>
                <w:sz w:val="32"/>
                <w:szCs w:val="32"/>
              </w:rPr>
              <w:t>合〔</w:t>
            </w:r>
            <w:r>
              <w:rPr>
                <w:rFonts w:eastAsia="仿宋_GB2312;方正仿宋_GBK" w:ascii="仿宋_GB2312;方正仿宋_GBK" w:hAnsi="仿宋_GB2312;方正仿宋_GBK"/>
                <w:sz w:val="32"/>
                <w:szCs w:val="32"/>
              </w:rPr>
              <w:t>2014</w:t>
            </w:r>
            <w:r>
              <w:rPr>
                <w:rFonts w:ascii="仿宋_GB2312;方正仿宋_GBK" w:hAnsi="仿宋_GB2312;方正仿宋_GBK" w:eastAsia="仿宋_GB2312;方正仿宋_GBK"/>
                <w:sz w:val="32"/>
                <w:szCs w:val="32"/>
              </w:rPr>
              <w:t>〕    号</w:t>
            </w:r>
          </w:p>
        </w:tc>
      </w:tr>
      <w:tr>
        <w:trPr>
          <w:trHeight w:val="149" w:hRule="exact"/>
        </w:trPr>
        <w:tc>
          <w:tcPr>
            <w:tcW w:w="9061" w:type="dxa"/>
            <w:gridSpan w:val="2"/>
            <w:tcBorders>
              <w:bottom w:val="single" w:sz="18" w:space="0" w:color="FF0000"/>
            </w:tcBorders>
          </w:tcPr>
          <w:p>
            <w:pPr>
              <w:pStyle w:val="Normal"/>
              <w:snapToGrid w:val="false"/>
              <w:rPr>
                <w:rFonts w:ascii="公文小标宋简;方正小标宋_GBK" w:hAnsi="公文小标宋简;方正小标宋_GBK" w:eastAsia="公文小标宋简;方正小标宋_GBK"/>
                <w:sz w:val="32"/>
                <w:szCs w:val="32"/>
              </w:rPr>
            </w:pPr>
            <w:r>
              <w:rPr>
                <w:rFonts w:eastAsia="公文小标宋简;方正小标宋_GBK" w:ascii="公文小标宋简;方正小标宋_GBK" w:hAnsi="公文小标宋简;方正小标宋_GBK"/>
                <w:sz w:val="32"/>
                <w:szCs w:val="32"/>
              </w:rPr>
            </w:r>
          </w:p>
        </w:tc>
      </w:tr>
      <w:tr>
        <w:trPr>
          <w:trHeight w:val="877" w:hRule="exact"/>
        </w:trPr>
        <w:tc>
          <w:tcPr>
            <w:tcW w:w="9061" w:type="dxa"/>
            <w:gridSpan w:val="2"/>
            <w:tcBorders>
              <w:top w:val="single" w:sz="18" w:space="0" w:color="FF0000"/>
            </w:tcBorders>
          </w:tcPr>
          <w:p>
            <w:pPr>
              <w:pStyle w:val="Normal"/>
              <w:snapToGrid w:val="false"/>
              <w:spacing w:lineRule="exact" w:line="592"/>
              <w:rPr>
                <w:rFonts w:ascii="公文小标宋简;方正小标宋_GBK" w:hAnsi="公文小标宋简;方正小标宋_GBK" w:eastAsia="公文小标宋简;方正小标宋_GBK"/>
                <w:sz w:val="32"/>
                <w:szCs w:val="32"/>
              </w:rPr>
            </w:pPr>
            <w:r>
              <w:rPr>
                <w:rFonts w:eastAsia="公文小标宋简;方正小标宋_GBK" w:ascii="公文小标宋简;方正小标宋_GBK" w:hAnsi="公文小标宋简;方正小标宋_GBK"/>
                <w:sz w:val="32"/>
                <w:szCs w:val="32"/>
              </w:rPr>
            </w:r>
          </w:p>
          <w:p>
            <w:pPr>
              <w:pStyle w:val="Normal"/>
              <w:snapToGrid w:val="false"/>
              <w:spacing w:lineRule="exact" w:line="592"/>
              <w:rPr>
                <w:rFonts w:ascii="公文小标宋简;方正小标宋_GBK" w:hAnsi="公文小标宋简;方正小标宋_GBK" w:eastAsia="公文小标宋简;方正小标宋_GBK"/>
                <w:sz w:val="32"/>
                <w:szCs w:val="32"/>
              </w:rPr>
            </w:pPr>
            <w:r>
              <w:rPr>
                <w:rFonts w:eastAsia="公文小标宋简;方正小标宋_GBK" w:ascii="公文小标宋简;方正小标宋_GBK" w:hAnsi="公文小标宋简;方正小标宋_GBK"/>
                <w:sz w:val="32"/>
                <w:szCs w:val="32"/>
              </w:rPr>
            </w:r>
          </w:p>
          <w:p>
            <w:pPr>
              <w:pStyle w:val="Normal"/>
              <w:rPr>
                <w:rFonts w:ascii="公文小标宋简;方正小标宋_GBK" w:hAnsi="公文小标宋简;方正小标宋_GBK" w:eastAsia="公文小标宋简;方正小标宋_GBK"/>
                <w:sz w:val="32"/>
                <w:szCs w:val="32"/>
              </w:rPr>
            </w:pPr>
            <w:r>
              <w:rPr>
                <w:rFonts w:eastAsia="公文小标宋简;方正小标宋_GBK" w:ascii="公文小标宋简;方正小标宋_GBK" w:hAnsi="公文小标宋简;方正小标宋_GBK"/>
                <w:sz w:val="32"/>
                <w:szCs w:val="32"/>
              </w:rPr>
            </w:r>
          </w:p>
        </w:tc>
      </w:tr>
      <w:tr>
        <w:trPr>
          <w:trHeight w:val="1075" w:hRule="atLeast"/>
        </w:trPr>
        <w:tc>
          <w:tcPr>
            <w:tcW w:w="9061" w:type="dxa"/>
            <w:gridSpan w:val="2"/>
            <w:tcBorders/>
          </w:tcPr>
          <w:p>
            <w:pPr>
              <w:pStyle w:val="Normal"/>
              <w:snapToGrid w:val="false"/>
              <w:spacing w:lineRule="exact" w:line="592"/>
              <w:jc w:val="center"/>
              <w:rPr>
                <w:rFonts w:ascii="方正小标宋_GBK" w:hAnsi="方正小标宋_GBK" w:eastAsia="方正小标宋_GBK" w:cs="方正小标宋_GBK"/>
                <w:sz w:val="44"/>
                <w:szCs w:val="32"/>
              </w:rPr>
            </w:pPr>
            <w:r>
              <w:rPr>
                <w:rFonts w:ascii="方正小标宋_GBK" w:hAnsi="方正小标宋_GBK" w:cs="方正小标宋_GBK" w:eastAsia="方正小标宋_GBK"/>
                <w:sz w:val="44"/>
                <w:szCs w:val="32"/>
              </w:rPr>
              <w:t>关于发布《湖北省农产品订单（买卖）合同》</w:t>
            </w:r>
          </w:p>
          <w:p>
            <w:pPr>
              <w:pStyle w:val="Normal"/>
              <w:snapToGrid w:val="false"/>
              <w:spacing w:lineRule="exact" w:line="592"/>
              <w:jc w:val="center"/>
              <w:rPr>
                <w:rFonts w:ascii="方正小标宋_GBK" w:hAnsi="方正小标宋_GBK" w:eastAsia="方正小标宋_GBK" w:cs="方正小标宋_GBK"/>
                <w:sz w:val="44"/>
                <w:szCs w:val="32"/>
              </w:rPr>
            </w:pPr>
            <w:r>
              <w:rPr>
                <w:rFonts w:ascii="方正小标宋_GBK" w:hAnsi="方正小标宋_GBK" w:cs="方正小标宋_GBK" w:eastAsia="方正小标宋_GBK"/>
                <w:sz w:val="44"/>
                <w:szCs w:val="32"/>
              </w:rPr>
              <w:t>示范文本的通知</w:t>
            </w:r>
          </w:p>
        </w:tc>
      </w:tr>
      <w:tr>
        <w:trPr>
          <w:trHeight w:val="802" w:hRule="atLeast"/>
        </w:trPr>
        <w:tc>
          <w:tcPr>
            <w:tcW w:w="9061" w:type="dxa"/>
            <w:gridSpan w:val="2"/>
            <w:tcBorders/>
          </w:tcPr>
          <w:p>
            <w:pPr>
              <w:pStyle w:val="Normal"/>
              <w:snapToGrid w:val="false"/>
              <w:spacing w:lineRule="exact" w:line="592"/>
              <w:jc w:val="center"/>
              <w:rPr>
                <w:rFonts w:ascii="仿宋_GB2312;方正仿宋_GBK" w:hAnsi="仿宋_GB2312;方正仿宋_GBK" w:eastAsia="仿宋_GB2312;方正仿宋_GBK" w:cs="方正小标宋_GBK"/>
                <w:sz w:val="32"/>
                <w:szCs w:val="32"/>
              </w:rPr>
            </w:pPr>
            <w:r>
              <w:rPr>
                <w:rFonts w:eastAsia="仿宋_GB2312;方正仿宋_GBK" w:cs="方正小标宋_GBK" w:ascii="仿宋_GB2312;方正仿宋_GBK" w:hAnsi="仿宋_GB2312;方正仿宋_GBK"/>
                <w:sz w:val="32"/>
                <w:szCs w:val="32"/>
              </w:rPr>
            </w:r>
          </w:p>
        </w:tc>
      </w:tr>
    </w:tbl>
    <w:p>
      <w:pPr>
        <w:pStyle w:val="Normal"/>
        <w:snapToGrid w:val="false"/>
        <w:spacing w:lineRule="exact" w:line="592"/>
        <w:rPr>
          <w:rFonts w:ascii="仿宋_GB2312;方正仿宋_GBK" w:hAnsi="仿宋_GB2312;方正仿宋_GBK" w:eastAsia="仿宋_GB2312;方正仿宋_GBK"/>
          <w:color w:val="000000"/>
          <w:sz w:val="32"/>
          <w:szCs w:val="32"/>
        </w:rPr>
      </w:pPr>
      <w:r>
        <w:rPr>
          <w:rFonts w:ascii="仿宋_GB2312;方正仿宋_GBK" w:hAnsi="仿宋_GB2312;方正仿宋_GBK" w:eastAsia="仿宋_GB2312;方正仿宋_GBK"/>
          <w:color w:val="000000"/>
          <w:sz w:val="32"/>
          <w:szCs w:val="32"/>
        </w:rPr>
        <w:t>各市、州、直管市、林区工商局：</w:t>
      </w:r>
    </w:p>
    <w:p>
      <w:pPr>
        <w:pStyle w:val="Normal"/>
        <w:snapToGrid w:val="false"/>
        <w:spacing w:lineRule="exact" w:line="592"/>
        <w:ind w:firstLine="640" w:end="0"/>
        <w:rPr>
          <w:rFonts w:ascii="仿宋_GB2312;方正仿宋_GBK" w:hAnsi="仿宋_GB2312;方正仿宋_GBK" w:eastAsia="仿宋_GB2312;方正仿宋_GBK"/>
          <w:color w:val="000000"/>
          <w:sz w:val="32"/>
          <w:szCs w:val="32"/>
        </w:rPr>
      </w:pPr>
      <w:r>
        <w:rPr>
          <w:rFonts w:ascii="仿宋_GB2312;方正仿宋_GBK" w:hAnsi="仿宋_GB2312;方正仿宋_GBK" w:eastAsia="仿宋_GB2312;方正仿宋_GBK"/>
          <w:color w:val="000000"/>
          <w:sz w:val="32"/>
          <w:szCs w:val="32"/>
        </w:rPr>
        <w:t>根据《中华人民共和国合同法》、《中华人民共和国消费者权益保护法》、《湖北省合同监督条例》等法律法规，结合我省实际，经过认真调研，并广泛征求相关部门意见，省工商局制定了《湖北省农产品订单（买卖）合同》示范文本，现予发布，请各地做好宣传、推行使用和监督管理工作。</w:t>
      </w:r>
    </w:p>
    <w:p>
      <w:pPr>
        <w:pStyle w:val="Normal"/>
        <w:snapToGrid w:val="false"/>
        <w:spacing w:lineRule="exact" w:line="592"/>
        <w:ind w:firstLine="640" w:end="0"/>
        <w:rPr>
          <w:rFonts w:ascii="仿宋_GB2312;方正仿宋_GBK" w:hAnsi="仿宋_GB2312;方正仿宋_GBK" w:eastAsia="仿宋_GB2312;方正仿宋_GBK"/>
          <w:color w:val="000000"/>
          <w:sz w:val="32"/>
          <w:szCs w:val="32"/>
        </w:rPr>
      </w:pPr>
      <w:r>
        <w:rPr>
          <w:rFonts w:ascii="仿宋_GB2312;方正仿宋_GBK" w:hAnsi="仿宋_GB2312;方正仿宋_GBK" w:eastAsia="仿宋_GB2312;方正仿宋_GBK"/>
          <w:color w:val="000000"/>
          <w:sz w:val="32"/>
          <w:szCs w:val="32"/>
        </w:rPr>
        <w:t>各相关单位或个人需要使用该示范文本的，可通过省工商局官方网站（</w:t>
      </w:r>
      <w:hyperlink r:id="rId2">
        <w:r>
          <w:rPr>
            <w:rStyle w:val="Hyperlink"/>
            <w:rFonts w:eastAsia="仿宋_GB2312;方正仿宋_GBK" w:ascii="仿宋_GB2312;方正仿宋_GBK" w:hAnsi="仿宋_GB2312;方正仿宋_GBK"/>
            <w:color w:val="000000"/>
            <w:sz w:val="32"/>
            <w:szCs w:val="32"/>
          </w:rPr>
          <w:t>http://www.egs.gov.cn</w:t>
        </w:r>
      </w:hyperlink>
      <w:r>
        <w:rPr>
          <w:rFonts w:ascii="仿宋_GB2312;方正仿宋_GBK" w:hAnsi="仿宋_GB2312;方正仿宋_GBK" w:eastAsia="仿宋_GB2312;方正仿宋_GBK"/>
          <w:color w:val="000000"/>
          <w:sz w:val="32"/>
          <w:szCs w:val="32"/>
        </w:rPr>
        <w:t>{官网链接}）和省企业信用</w:t>
      </w:r>
      <w:hyperlink r:id="rId3">
        <w:r>
          <w:rPr>
            <w:rStyle w:val="Hyperlink"/>
            <w:rFonts w:eastAsia="仿宋_GB2312;方正仿宋_GBK" w:ascii="仿宋_GB2312;方正仿宋_GBK" w:hAnsi="仿宋_GB2312;方正仿宋_GBK"/>
            <w:color w:val="000000"/>
            <w:sz w:val="32"/>
            <w:szCs w:val="32"/>
          </w:rPr>
          <w:t>http://www.xycjh.cn</w:t>
        </w:r>
      </w:hyperlink>
      <w:r>
        <w:rPr>
          <w:rFonts w:ascii="仿宋_GB2312;方正仿宋_GBK" w:hAnsi="仿宋_GB2312;方正仿宋_GBK" w:eastAsia="仿宋_GB2312;方正仿宋_GBK"/>
          <w:color w:val="000000"/>
          <w:sz w:val="32"/>
          <w:szCs w:val="32"/>
        </w:rPr>
        <w:t>促进会网站（{协会链接}）自行下载。各地在推行使用该合同过程中遇到的问题，请及时反馈省工商局合同处（{反馈方式}）。</w:t>
      </w:r>
    </w:p>
    <w:p>
      <w:pPr>
        <w:pStyle w:val="Normal"/>
        <w:snapToGrid w:val="false"/>
        <w:spacing w:lineRule="exact" w:line="592"/>
        <w:ind w:firstLine="640" w:end="0"/>
        <w:rPr>
          <w:rFonts w:ascii="仿宋_GB2312;方正仿宋_GBK" w:hAnsi="仿宋_GB2312;方正仿宋_GBK" w:eastAsia="仿宋_GB2312;方正仿宋_GBK"/>
          <w:color w:val="000000"/>
          <w:sz w:val="32"/>
          <w:szCs w:val="32"/>
        </w:rPr>
      </w:pPr>
      <w:r>
        <w:rPr>
          <w:rFonts w:eastAsia="仿宋_GB2312;方正仿宋_GBK" w:ascii="仿宋_GB2312;方正仿宋_GBK" w:hAnsi="仿宋_GB2312;方正仿宋_GBK"/>
          <w:color w:val="000000"/>
          <w:sz w:val="32"/>
          <w:szCs w:val="32"/>
        </w:rPr>
      </w:r>
    </w:p>
    <w:p>
      <w:pPr>
        <w:pStyle w:val="Normal"/>
        <w:snapToGrid w:val="false"/>
        <w:ind w:firstLine="640" w:end="0"/>
        <w:rPr>
          <w:rFonts w:ascii="仿宋_GB2312;方正仿宋_GBK" w:hAnsi="仿宋_GB2312;方正仿宋_GBK" w:eastAsia="仿宋_GB2312;方正仿宋_GBK"/>
          <w:color w:val="000000"/>
          <w:sz w:val="32"/>
          <w:szCs w:val="32"/>
        </w:rPr>
      </w:pPr>
      <w:r>
        <w:rPr>
          <w:rFonts w:ascii="仿宋_GB2312;方正仿宋_GBK" w:hAnsi="仿宋_GB2312;方正仿宋_GBK" w:eastAsia="仿宋_GB2312;方正仿宋_GBK"/>
          <w:color w:val="000000"/>
          <w:sz w:val="32"/>
          <w:szCs w:val="32"/>
        </w:rPr>
        <w:t>附件：{《湖北省农产品订单（买卖）合同》}</w:t>
      </w:r>
    </w:p>
    <w:p>
      <w:pPr>
        <w:pStyle w:val="Normal"/>
        <w:tabs>
          <w:tab w:val="clear" w:pos="420"/>
          <w:tab w:val="left" w:pos="1640" w:leader="none"/>
        </w:tabs>
        <w:snapToGrid w:val="false"/>
        <w:spacing w:lineRule="exact" w:line="592"/>
        <w:ind w:firstLine="640" w:start="1277" w:end="0"/>
        <w:rPr>
          <w:rFonts w:ascii="仿宋_GB2312;方正仿宋_GBK" w:hAnsi="仿宋_GB2312;方正仿宋_GBK" w:eastAsia="仿宋_GB2312;方正仿宋_GBK"/>
          <w:color w:val="000000"/>
          <w:sz w:val="32"/>
          <w:szCs w:val="32"/>
        </w:rPr>
      </w:pPr>
      <w:r>
        <w:rPr>
          <w:rFonts w:eastAsia="仿宋_GB2312;方正仿宋_GBK" w:ascii="仿宋_GB2312;方正仿宋_GBK" w:hAnsi="仿宋_GB2312;方正仿宋_GBK"/>
          <w:color w:val="000000"/>
          <w:sz w:val="32"/>
          <w:szCs w:val="32"/>
        </w:rPr>
      </w:r>
    </w:p>
    <w:p>
      <w:pPr>
        <w:pStyle w:val="Normal"/>
        <w:tabs>
          <w:tab w:val="clear" w:pos="420"/>
          <w:tab w:val="left" w:pos="1640" w:leader="none"/>
        </w:tabs>
        <w:snapToGrid w:val="false"/>
        <w:spacing w:lineRule="exact" w:line="592"/>
        <w:ind w:firstLine="640" w:start="1277" w:end="0"/>
        <w:rPr>
          <w:rFonts w:ascii="仿宋_GB2312;方正仿宋_GBK" w:hAnsi="仿宋_GB2312;方正仿宋_GBK" w:eastAsia="仿宋_GB2312;方正仿宋_GBK"/>
          <w:color w:val="000000"/>
          <w:sz w:val="32"/>
          <w:szCs w:val="32"/>
        </w:rPr>
      </w:pPr>
      <w:r>
        <w:rPr>
          <w:rFonts w:eastAsia="仿宋_GB2312;方正仿宋_GBK" w:ascii="仿宋_GB2312;方正仿宋_GBK" w:hAnsi="仿宋_GB2312;方正仿宋_GBK"/>
          <w:color w:val="000000"/>
          <w:sz w:val="32"/>
          <w:szCs w:val="32"/>
        </w:rPr>
      </w:r>
    </w:p>
    <w:p>
      <w:pPr>
        <w:pStyle w:val="Normal"/>
        <w:tabs>
          <w:tab w:val="clear" w:pos="420"/>
          <w:tab w:val="left" w:pos="1640" w:leader="none"/>
        </w:tabs>
        <w:snapToGrid w:val="false"/>
        <w:spacing w:lineRule="exact" w:line="592"/>
        <w:ind w:firstLine="640" w:start="1277" w:end="0"/>
        <w:rPr>
          <w:rFonts w:ascii="仿宋_GB2312;方正仿宋_GBK" w:hAnsi="仿宋_GB2312;方正仿宋_GBK" w:eastAsia="仿宋_GB2312;方正仿宋_GBK"/>
          <w:color w:val="000000"/>
          <w:sz w:val="32"/>
          <w:szCs w:val="32"/>
        </w:rPr>
      </w:pPr>
      <w:r>
        <w:rPr>
          <w:rFonts w:eastAsia="仿宋_GB2312;方正仿宋_GBK" w:ascii="仿宋_GB2312;方正仿宋_GBK" w:hAnsi="仿宋_GB2312;方正仿宋_GBK"/>
          <w:color w:val="000000"/>
          <w:sz w:val="32"/>
          <w:szCs w:val="32"/>
        </w:rPr>
      </w:r>
    </w:p>
    <w:p>
      <w:pPr>
        <w:pStyle w:val="Normal"/>
        <w:snapToGrid w:val="false"/>
        <w:spacing w:lineRule="exact" w:line="592"/>
        <w:ind w:firstLine="5280" w:end="0"/>
        <w:rPr>
          <w:rFonts w:ascii="仿宋_GB2312;方正仿宋_GBK" w:hAnsi="仿宋_GB2312;方正仿宋_GBK" w:eastAsia="仿宋_GB2312;方正仿宋_GBK"/>
          <w:color w:val="000000"/>
          <w:sz w:val="32"/>
          <w:szCs w:val="32"/>
        </w:rPr>
      </w:pPr>
      <w:r>
        <w:rPr>
          <w:rFonts w:eastAsia="仿宋_GB2312;方正仿宋_GBK" w:ascii="仿宋_GB2312;方正仿宋_GBK" w:hAnsi="仿宋_GB2312;方正仿宋_GBK"/>
          <w:color w:val="000000"/>
          <w:sz w:val="32"/>
          <w:szCs w:val="32"/>
        </w:rPr>
        <w:t xml:space="preserve">{年} </w:t>
      </w:r>
      <w:r>
        <w:rPr>
          <w:rFonts w:ascii="仿宋_GB2312;方正仿宋_GBK" w:hAnsi="仿宋_GB2312;方正仿宋_GBK" w:eastAsia="仿宋_GB2312;方正仿宋_GBK"/>
          <w:color w:val="000000"/>
          <w:sz w:val="32"/>
          <w:szCs w:val="32"/>
        </w:rPr>
        <w:t xml:space="preserve"> {月}  {日}</w:t>
      </w:r>
    </w:p>
    <w:p>
      <w:pPr>
        <w:pStyle w:val="Normal"/>
        <w:ind w:firstLine="420" w:end="0"/>
        <w:jc w:val="end"/>
        <w:rPr>
          <w:rFonts w:ascii="公文小标宋简;方正小标宋_GBK" w:hAnsi="公文小标宋简;方正小标宋_GBK" w:eastAsia="公文小标宋简;方正小标宋_GBK"/>
          <w:color w:val="000000"/>
          <w:sz w:val="32"/>
          <w:szCs w:val="32"/>
        </w:rPr>
      </w:pPr>
      <w:r>
        <w:rPr>
          <w:rFonts w:eastAsia="公文小标宋简;方正小标宋_GBK" w:ascii="公文小标宋简;方正小标宋_GBK" w:hAnsi="公文小标宋简;方正小标宋_GBK"/>
          <w:color w:val="000000"/>
          <w:sz w:val="32"/>
          <w:szCs w:val="32"/>
        </w:rPr>
      </w:r>
    </w:p>
    <w:p>
      <w:pPr>
        <w:pStyle w:val="Normal"/>
        <w:ind w:firstLine="420" w:end="0"/>
        <w:jc w:val="end"/>
        <w:rPr>
          <w:rFonts w:ascii="公文小标宋简;方正小标宋_GBK" w:hAnsi="公文小标宋简;方正小标宋_GBK" w:eastAsia="公文小标宋简;方正小标宋_GBK"/>
          <w:color w:val="000000"/>
          <w:sz w:val="32"/>
          <w:szCs w:val="32"/>
        </w:rPr>
      </w:pPr>
      <w:r>
        <w:rPr>
          <w:rFonts w:eastAsia="公文小标宋简;方正小标宋_GBK" w:ascii="公文小标宋简;方正小标宋_GBK" w:hAnsi="公文小标宋简;方正小标宋_GBK"/>
          <w:color w:val="000000"/>
          <w:sz w:val="32"/>
          <w:szCs w:val="32"/>
        </w:rPr>
      </w:r>
    </w:p>
    <w:p>
      <w:pPr>
        <w:pStyle w:val="Normal"/>
        <w:ind w:firstLine="420" w:end="0"/>
        <w:jc w:val="end"/>
        <w:rPr>
          <w:rFonts w:ascii="公文小标宋简;方正小标宋_GBK" w:hAnsi="公文小标宋简;方正小标宋_GBK" w:eastAsia="公文小标宋简;方正小标宋_GBK"/>
          <w:color w:val="000000"/>
          <w:sz w:val="32"/>
          <w:szCs w:val="32"/>
        </w:rPr>
      </w:pPr>
      <w:r>
        <w:rPr>
          <w:rFonts w:eastAsia="公文小标宋简;方正小标宋_GBK" w:ascii="公文小标宋简;方正小标宋_GBK" w:hAnsi="公文小标宋简;方正小标宋_GBK"/>
          <w:color w:val="000000"/>
          <w:sz w:val="32"/>
          <w:szCs w:val="32"/>
        </w:rPr>
      </w:r>
    </w:p>
    <w:p>
      <w:pPr>
        <w:pStyle w:val="Normal"/>
        <w:ind w:firstLine="420" w:end="0"/>
        <w:jc w:val="end"/>
        <w:rPr>
          <w:rFonts w:ascii="公文小标宋简;方正小标宋_GBK" w:hAnsi="公文小标宋简;方正小标宋_GBK" w:eastAsia="公文小标宋简;方正小标宋_GBK"/>
          <w:color w:val="000000"/>
          <w:sz w:val="32"/>
          <w:szCs w:val="32"/>
        </w:rPr>
      </w:pPr>
      <w:r>
        <w:rPr>
          <w:rFonts w:eastAsia="公文小标宋简;方正小标宋_GBK" w:ascii="公文小标宋简;方正小标宋_GBK" w:hAnsi="公文小标宋简;方正小标宋_GBK"/>
          <w:color w:val="000000"/>
          <w:sz w:val="32"/>
          <w:szCs w:val="32"/>
        </w:rPr>
      </w:r>
    </w:p>
    <w:p>
      <w:pPr>
        <w:pStyle w:val="Normal"/>
        <w:ind w:firstLine="420" w:end="0"/>
        <w:jc w:val="end"/>
        <w:rPr>
          <w:rFonts w:ascii="公文小标宋简;方正小标宋_GBK" w:hAnsi="公文小标宋简;方正小标宋_GBK" w:eastAsia="公文小标宋简;方正小标宋_GBK"/>
          <w:color w:val="000000"/>
          <w:sz w:val="32"/>
          <w:szCs w:val="32"/>
        </w:rPr>
      </w:pPr>
      <w:r>
        <w:rPr>
          <w:rFonts w:eastAsia="公文小标宋简;方正小标宋_GBK" w:ascii="公文小标宋简;方正小标宋_GBK" w:hAnsi="公文小标宋简;方正小标宋_GBK"/>
          <w:color w:val="000000"/>
          <w:sz w:val="32"/>
          <w:szCs w:val="32"/>
        </w:rPr>
      </w:r>
    </w:p>
    <w:p>
      <w:pPr>
        <w:pStyle w:val="Normal"/>
        <w:ind w:firstLine="420" w:end="0"/>
        <w:jc w:val="end"/>
        <w:rPr>
          <w:rFonts w:ascii="公文小标宋简;方正小标宋_GBK" w:hAnsi="公文小标宋简;方正小标宋_GBK" w:eastAsia="公文小标宋简;方正小标宋_GBK"/>
          <w:color w:val="000000"/>
          <w:sz w:val="32"/>
          <w:szCs w:val="32"/>
        </w:rPr>
      </w:pPr>
      <w:r>
        <w:rPr>
          <w:rFonts w:eastAsia="公文小标宋简;方正小标宋_GBK" w:ascii="公文小标宋简;方正小标宋_GBK" w:hAnsi="公文小标宋简;方正小标宋_GBK"/>
          <w:color w:val="000000"/>
          <w:sz w:val="32"/>
          <w:szCs w:val="32"/>
        </w:rPr>
      </w:r>
    </w:p>
    <w:p>
      <w:pPr>
        <w:pStyle w:val="Normal"/>
        <w:ind w:firstLine="420" w:end="0"/>
        <w:jc w:val="end"/>
        <w:rPr>
          <w:rFonts w:ascii="公文小标宋简;方正小标宋_GBK" w:hAnsi="公文小标宋简;方正小标宋_GBK" w:eastAsia="公文小标宋简;方正小标宋_GBK"/>
          <w:color w:val="000000"/>
          <w:sz w:val="32"/>
          <w:szCs w:val="32"/>
        </w:rPr>
      </w:pPr>
      <w:r>
        <w:rPr>
          <w:rFonts w:eastAsia="公文小标宋简;方正小标宋_GBK" w:ascii="公文小标宋简;方正小标宋_GBK" w:hAnsi="公文小标宋简;方正小标宋_GBK"/>
          <w:color w:val="000000"/>
          <w:sz w:val="32"/>
          <w:szCs w:val="32"/>
        </w:rPr>
      </w:r>
    </w:p>
    <w:p>
      <w:pPr>
        <w:pStyle w:val="Normal"/>
        <w:ind w:firstLine="420" w:end="0"/>
        <w:jc w:val="end"/>
        <w:rPr>
          <w:rFonts w:ascii="公文小标宋简;方正小标宋_GBK" w:hAnsi="公文小标宋简;方正小标宋_GBK" w:eastAsia="公文小标宋简;方正小标宋_GBK"/>
          <w:color w:val="000000"/>
          <w:sz w:val="32"/>
          <w:szCs w:val="32"/>
        </w:rPr>
      </w:pPr>
      <w:r>
        <w:rPr>
          <w:rFonts w:eastAsia="公文小标宋简;方正小标宋_GBK" w:ascii="公文小标宋简;方正小标宋_GBK" w:hAnsi="公文小标宋简;方正小标宋_GBK"/>
          <w:color w:val="000000"/>
          <w:sz w:val="32"/>
          <w:szCs w:val="32"/>
        </w:rPr>
      </w:r>
    </w:p>
    <w:p>
      <w:pPr>
        <w:pStyle w:val="Normal"/>
        <w:ind w:firstLine="420" w:end="0"/>
        <w:jc w:val="end"/>
        <w:rPr>
          <w:rFonts w:ascii="公文小标宋简;方正小标宋_GBK" w:hAnsi="公文小标宋简;方正小标宋_GBK" w:eastAsia="公文小标宋简;方正小标宋_GBK"/>
          <w:color w:val="000000"/>
          <w:sz w:val="32"/>
          <w:szCs w:val="32"/>
        </w:rPr>
      </w:pPr>
      <w:r>
        <w:rPr>
          <w:rFonts w:eastAsia="公文小标宋简;方正小标宋_GBK" w:ascii="公文小标宋简;方正小标宋_GBK" w:hAnsi="公文小标宋简;方正小标宋_GBK"/>
          <w:color w:val="000000"/>
          <w:sz w:val="32"/>
          <w:szCs w:val="32"/>
        </w:rPr>
      </w:r>
    </w:p>
    <w:p>
      <w:pPr>
        <w:pStyle w:val="Normal"/>
        <w:ind w:firstLine="420" w:end="0"/>
        <w:jc w:val="end"/>
        <w:rPr>
          <w:rFonts w:ascii="公文小标宋简;方正小标宋_GBK" w:hAnsi="公文小标宋简;方正小标宋_GBK" w:eastAsia="公文小标宋简;方正小标宋_GBK"/>
          <w:color w:val="000000"/>
          <w:sz w:val="32"/>
          <w:szCs w:val="32"/>
        </w:rPr>
      </w:pPr>
      <w:r>
        <w:rPr>
          <w:rFonts w:eastAsia="公文小标宋简;方正小标宋_GBK" w:ascii="公文小标宋简;方正小标宋_GBK" w:hAnsi="公文小标宋简;方正小标宋_GBK"/>
          <w:color w:val="000000"/>
          <w:sz w:val="32"/>
          <w:szCs w:val="32"/>
        </w:rPr>
      </w:r>
    </w:p>
    <w:p>
      <w:pPr>
        <w:pStyle w:val="Normal"/>
        <w:ind w:firstLine="420" w:end="0"/>
        <w:jc w:val="end"/>
        <w:rPr>
          <w:rFonts w:ascii="公文小标宋简;方正小标宋_GBK" w:hAnsi="公文小标宋简;方正小标宋_GBK" w:eastAsia="公文小标宋简;方正小标宋_GBK"/>
          <w:color w:val="000000"/>
          <w:sz w:val="32"/>
          <w:szCs w:val="32"/>
        </w:rPr>
      </w:pPr>
      <w:r>
        <w:rPr>
          <w:rFonts w:eastAsia="公文小标宋简;方正小标宋_GBK" w:ascii="公文小标宋简;方正小标宋_GBK" w:hAnsi="公文小标宋简;方正小标宋_GBK"/>
          <w:color w:val="000000"/>
          <w:sz w:val="32"/>
          <w:szCs w:val="32"/>
        </w:rPr>
      </w:r>
    </w:p>
    <w:p>
      <w:pPr>
        <w:pStyle w:val="Normal"/>
        <w:ind w:firstLine="420" w:end="0"/>
        <w:jc w:val="end"/>
        <w:rPr>
          <w:rFonts w:ascii="公文小标宋简;方正小标宋_GBK" w:hAnsi="公文小标宋简;方正小标宋_GBK" w:eastAsia="公文小标宋简;方正小标宋_GBK"/>
          <w:color w:val="000000"/>
          <w:sz w:val="32"/>
          <w:szCs w:val="32"/>
        </w:rPr>
      </w:pPr>
      <w:r>
        <w:rPr>
          <w:rFonts w:eastAsia="公文小标宋简;方正小标宋_GBK" w:ascii="公文小标宋简;方正小标宋_GBK" w:hAnsi="公文小标宋简;方正小标宋_GBK"/>
          <w:color w:val="000000"/>
          <w:sz w:val="32"/>
          <w:szCs w:val="32"/>
        </w:rPr>
      </w:r>
    </w:p>
    <w:p>
      <w:pPr>
        <w:pStyle w:val="Normal"/>
        <w:ind w:firstLine="420" w:end="0"/>
        <w:jc w:val="end"/>
        <w:rPr>
          <w:rFonts w:ascii="公文小标宋简;方正小标宋_GBK" w:hAnsi="公文小标宋简;方正小标宋_GBK" w:eastAsia="公文小标宋简;方正小标宋_GBK"/>
          <w:color w:val="000000"/>
          <w:sz w:val="10"/>
          <w:szCs w:val="10"/>
        </w:rPr>
      </w:pPr>
      <w:r>
        <w:rPr>
          <w:rFonts w:eastAsia="公文小标宋简;方正小标宋_GBK" w:ascii="公文小标宋简;方正小标宋_GBK" w:hAnsi="公文小标宋简;方正小标宋_GBK"/>
          <w:color w:val="000000"/>
          <w:sz w:val="10"/>
          <w:szCs w:val="10"/>
        </w:rPr>
      </w:r>
    </w:p>
    <w:p>
      <w:pPr>
        <w:pStyle w:val="Normal"/>
        <w:ind w:firstLine="420" w:end="0"/>
        <w:jc w:val="end"/>
        <w:rPr>
          <w:rFonts w:ascii="公文小标宋简;方正小标宋_GBK" w:hAnsi="公文小标宋简;方正小标宋_GBK" w:eastAsia="公文小标宋简;方正小标宋_GBK"/>
          <w:color w:val="000000"/>
          <w:sz w:val="10"/>
          <w:szCs w:val="10"/>
        </w:rPr>
      </w:pPr>
      <w:r>
        <w:rPr>
          <w:rFonts w:eastAsia="公文小标宋简;方正小标宋_GBK" w:ascii="公文小标宋简;方正小标宋_GBK" w:hAnsi="公文小标宋简;方正小标宋_GBK"/>
          <w:color w:val="000000"/>
          <w:sz w:val="10"/>
          <w:szCs w:val="10"/>
        </w:rPr>
      </w:r>
    </w:p>
    <w:p>
      <w:pPr>
        <w:pStyle w:val="Normal"/>
        <w:ind w:firstLine="420" w:end="0"/>
        <w:jc w:val="end"/>
        <w:rPr>
          <w:rFonts w:ascii="公文小标宋简;方正小标宋_GBK" w:hAnsi="公文小标宋简;方正小标宋_GBK" w:eastAsia="公文小标宋简;方正小标宋_GBK"/>
          <w:color w:val="000000"/>
          <w:sz w:val="10"/>
          <w:szCs w:val="10"/>
        </w:rPr>
      </w:pPr>
      <w:r>
        <w:rPr>
          <w:rFonts w:eastAsia="公文小标宋简;方正小标宋_GBK" w:ascii="公文小标宋简;方正小标宋_GBK" w:hAnsi="公文小标宋简;方正小标宋_GBK"/>
          <w:color w:val="000000"/>
          <w:sz w:val="10"/>
          <w:szCs w:val="10"/>
        </w:rPr>
      </w:r>
    </w:p>
    <w:tbl>
      <w:tblPr>
        <w:tblW w:w="9061" w:type="dxa"/>
        <w:jc w:val="start"/>
        <w:tblInd w:w="0" w:type="dxa"/>
        <w:tblLayout w:type="fixed"/>
        <w:tblCellMar>
          <w:top w:w="0" w:type="dxa"/>
          <w:start w:w="108" w:type="dxa"/>
          <w:bottom w:w="0" w:type="dxa"/>
          <w:end w:w="108" w:type="dxa"/>
        </w:tblCellMar>
      </w:tblPr>
      <w:tblGrid>
        <w:gridCol w:w="5148"/>
        <w:gridCol w:w="3913"/>
      </w:tblGrid>
      <w:tr>
        <w:trPr>
          <w:trHeight w:val="635" w:hRule="atLeast"/>
        </w:trPr>
        <w:tc>
          <w:tcPr>
            <w:tcW w:w="5148" w:type="dxa"/>
            <w:tcBorders>
              <w:top w:val="single" w:sz="4" w:space="0" w:color="000000"/>
              <w:bottom w:val="single" w:sz="2" w:space="0" w:color="000000"/>
            </w:tcBorders>
          </w:tcPr>
          <w:p>
            <w:pPr>
              <w:pStyle w:val="Normal"/>
              <w:ind w:firstLine="280" w:end="0"/>
              <w:rPr>
                <w:rFonts w:ascii="仿宋_GB2312;方正仿宋_GBK" w:hAnsi="仿宋_GB2312;方正仿宋_GBK" w:eastAsia="仿宋_GB2312;方正仿宋_GBK"/>
                <w:color w:val="000000"/>
                <w:sz w:val="28"/>
                <w:szCs w:val="28"/>
              </w:rPr>
            </w:pPr>
            <w:r>
              <w:rPr>
                <w:rFonts w:ascii="仿宋_GB2312;方正仿宋_GBK" w:hAnsi="仿宋_GB2312;方正仿宋_GBK" w:eastAsia="仿宋_GB2312;方正仿宋_GBK"/>
                <w:color w:val="000000"/>
                <w:sz w:val="28"/>
                <w:szCs w:val="28"/>
              </w:rPr>
              <w:t>湖北省工商行政管理局办公室</w:t>
            </w:r>
          </w:p>
        </w:tc>
        <w:tc>
          <w:tcPr>
            <w:tcW w:w="3913" w:type="dxa"/>
            <w:tcBorders>
              <w:top w:val="single" w:sz="4" w:space="0" w:color="000000"/>
              <w:bottom w:val="single" w:sz="2" w:space="0" w:color="000000"/>
            </w:tcBorders>
          </w:tcPr>
          <w:p>
            <w:pPr>
              <w:pStyle w:val="Normal"/>
              <w:rPr>
                <w:rFonts w:ascii="仿宋_GB2312;方正仿宋_GBK" w:hAnsi="仿宋_GB2312;方正仿宋_GBK" w:eastAsia="仿宋_GB2312;方正仿宋_GBK"/>
                <w:color w:val="000000"/>
                <w:sz w:val="28"/>
                <w:szCs w:val="28"/>
              </w:rPr>
            </w:pPr>
            <w:r>
              <w:rPr>
                <w:rFonts w:ascii="仿宋_GB2312;方正仿宋_GBK" w:hAnsi="仿宋_GB2312;方正仿宋_GBK" w:cs="仿宋_GB2312;方正仿宋_GBK" w:eastAsia="仿宋_GB2312;方正仿宋_GBK"/>
                <w:color w:val="000000"/>
                <w:sz w:val="28"/>
                <w:szCs w:val="28"/>
              </w:rPr>
              <w:t xml:space="preserve">      </w:t>
            </w:r>
            <w:r>
              <w:rPr>
                <w:rFonts w:eastAsia="仿宋_GB2312;方正仿宋_GBK" w:ascii="仿宋_GB2312;方正仿宋_GBK" w:hAnsi="仿宋_GB2312;方正仿宋_GBK"/>
                <w:color w:val="000000"/>
                <w:sz w:val="28"/>
                <w:szCs w:val="28"/>
              </w:rPr>
              <w:t>2014</w:t>
            </w:r>
            <w:r>
              <w:rPr>
                <w:rFonts w:ascii="仿宋_GB2312;方正仿宋_GBK" w:hAnsi="仿宋_GB2312;方正仿宋_GBK" w:eastAsia="仿宋_GB2312;方正仿宋_GBK"/>
                <w:color w:val="000000"/>
                <w:sz w:val="28"/>
                <w:szCs w:val="28"/>
              </w:rPr>
              <w:t>年  月   日印发</w:t>
            </w:r>
          </w:p>
        </w:tc>
      </w:tr>
    </w:tbl>
    <w:p>
      <w:pPr>
        <w:pStyle w:val="Normal"/>
        <w:tabs>
          <w:tab w:val="clear" w:pos="420"/>
          <w:tab w:val="left" w:pos="7740" w:leader="none"/>
        </w:tabs>
        <w:snapToGrid w:val="false"/>
        <w:spacing w:lineRule="auto" w:line="312"/>
        <w:rPr>
          <w:rFonts w:ascii="Times New Roman;DejaVu Sans" w:hAnsi="Times New Roman;DejaVu Sans" w:eastAsia="方正书宋简体;方正书宋_GBK" w:cs="Times New Roman;DejaVu Sans"/>
          <w:color w:val="000000"/>
          <w:sz w:val="22"/>
          <w:szCs w:val="22"/>
        </w:rPr>
      </w:pPr>
      <w:r>
        <w:rPr>
          <w:rFonts w:eastAsia="方正书宋简体;方正书宋_GBK" w:cs="Times New Roman;DejaVu Sans"/>
          <w:color w:val="000000"/>
          <w:sz w:val="22"/>
          <w:szCs w:val="22"/>
        </w:rPr>
      </w:r>
    </w:p>
    <w:p>
      <w:pPr>
        <w:pStyle w:val="Normal"/>
        <w:tabs>
          <w:tab w:val="clear" w:pos="420"/>
          <w:tab w:val="left" w:pos="7740" w:leader="none"/>
        </w:tabs>
        <w:snapToGrid w:val="false"/>
        <w:spacing w:lineRule="auto" w:line="312"/>
        <w:rPr>
          <w:rFonts w:ascii="Times New Roman;DejaVu Sans" w:hAnsi="Times New Roman;DejaVu Sans" w:eastAsia="方正书宋简体;方正书宋_GBK" w:cs="Times New Roman;DejaVu Sans"/>
          <w:color w:val="000000"/>
          <w:sz w:val="22"/>
          <w:szCs w:val="22"/>
        </w:rPr>
      </w:pPr>
      <w:r>
        <w:rPr>
          <w:rFonts w:ascii="Times New Roman;DejaVu Sans" w:hAnsi="Times New Roman;DejaVu Sans" w:cs="Times New Roman;DejaVu Sans" w:eastAsia="Times New Roman;DejaVu Sans"/>
          <w:color w:val="000000"/>
          <w:sz w:val="22"/>
          <w:szCs w:val="22"/>
        </w:rPr>
        <w:t xml:space="preserve">                         </w:t>
      </w:r>
      <w:r>
        <w:rPr>
          <w:rFonts w:ascii="Times New Roman;DejaVu Sans" w:hAnsi="Times New Roman;DejaVu Sans" w:cs="Times New Roman;DejaVu Sans" w:eastAsia="Times New Roman;DejaVu Sans"/>
          <w:color w:val="000000"/>
          <w:sz w:val="22"/>
          <w:szCs w:val="22"/>
          <w:lang w:val="en-US" w:eastAsia="zh-CN"/>
        </w:rPr>
        <w:t xml:space="preserve">                        </w:t>
      </w:r>
      <w:r>
        <w:rPr>
          <w:rFonts w:ascii="Times New Roman;DejaVu Sans" w:hAnsi="Times New Roman;DejaVu Sans" w:cs="Times New Roman;DejaVu Sans" w:eastAsia="Times New Roman;DejaVu Sans"/>
          <w:color w:val="000000"/>
          <w:sz w:val="22"/>
          <w:szCs w:val="22"/>
        </w:rPr>
        <w:t xml:space="preserve">           </w:t>
      </w:r>
    </w:p>
    <w:p>
      <w:pPr>
        <w:pStyle w:val="Normal"/>
        <w:tabs>
          <w:tab w:val="clear" w:pos="420"/>
          <w:tab w:val="left" w:pos="7740" w:leader="none"/>
        </w:tabs>
        <w:snapToGrid w:val="false"/>
        <w:spacing w:lineRule="auto" w:line="312"/>
        <w:rPr>
          <w:rFonts w:ascii="Times New Roman;DejaVu Sans" w:hAnsi="Times New Roman;DejaVu Sans" w:eastAsia="方正书宋简体;方正书宋_GBK" w:cs="Times New Roman;DejaVu Sans"/>
          <w:color w:val="000000"/>
          <w:sz w:val="22"/>
          <w:szCs w:val="22"/>
        </w:rPr>
      </w:pPr>
      <w:r>
        <w:rPr>
          <w:rFonts w:eastAsia="方正书宋简体;方正书宋_GBK" w:cs="Times New Roman;DejaVu Sans"/>
          <w:color w:val="000000"/>
          <w:sz w:val="22"/>
          <w:szCs w:val="22"/>
        </w:rPr>
      </w:r>
    </w:p>
    <w:p>
      <w:pPr>
        <w:pStyle w:val="Normal"/>
        <w:tabs>
          <w:tab w:val="clear" w:pos="420"/>
          <w:tab w:val="left" w:pos="7740" w:leader="none"/>
        </w:tabs>
        <w:snapToGrid w:val="false"/>
        <w:spacing w:lineRule="auto" w:line="312"/>
        <w:rPr>
          <w:rFonts w:ascii="方正书宋_GBK" w:hAnsi="方正书宋_GBK" w:eastAsia="方正书宋_GBK" w:cs="方正书宋_GBK"/>
          <w:color w:val="000000"/>
          <w:sz w:val="28"/>
          <w:szCs w:val="28"/>
        </w:rPr>
      </w:pPr>
      <w:r>
        <w:rPr>
          <w:rFonts w:ascii="Times New Roman;DejaVu Sans" w:hAnsi="Times New Roman;DejaVu Sans" w:cs="Times New Roman;DejaVu Sans" w:eastAsia="方正书宋_GBK"/>
          <w:color w:val="000000"/>
          <w:sz w:val="28"/>
          <w:szCs w:val="28"/>
        </w:rPr>
        <w:t>编号</w:t>
      </w:r>
      <w:r>
        <w:rPr>
          <w:rFonts w:ascii="Times New Roman;DejaVu Sans" w:hAnsi="Times New Roman;DejaVu Sans" w:cs="Times New Roman;DejaVu Sans" w:eastAsia="Times New Roman;DejaVu Sans"/>
          <w:color w:val="000000"/>
          <w:sz w:val="28"/>
          <w:szCs w:val="28"/>
          <w:u w:val="single"/>
        </w:rPr>
        <w:t xml:space="preserve">              </w:t>
      </w:r>
      <w:r>
        <w:rPr>
          <w:rFonts w:ascii="方正书宋_GBK" w:hAnsi="方正书宋_GBK" w:cs="方正书宋_GBK" w:eastAsia="方正书宋_GBK"/>
          <w:color w:val="000000"/>
          <w:sz w:val="28"/>
          <w:szCs w:val="28"/>
          <w:u w:val="single"/>
        </w:rPr>
        <w:t xml:space="preserve">  {编号内容}</w:t>
      </w:r>
    </w:p>
    <w:p>
      <w:pPr>
        <w:pStyle w:val="Normal"/>
        <w:snapToGrid w:val="false"/>
        <w:spacing w:lineRule="auto" w:line="312"/>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Normal"/>
        <w:snapToGrid w:val="false"/>
        <w:spacing w:lineRule="auto" w:line="312"/>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Normal"/>
        <w:snapToGrid w:val="false"/>
        <w:spacing w:lineRule="auto" w:line="312"/>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Normal"/>
        <w:snapToGrid w:val="false"/>
        <w:spacing w:lineRule="auto" w:line="312"/>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Normal"/>
        <w:snapToGrid w:val="false"/>
        <w:spacing w:lineRule="auto" w:line="312"/>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Heading1"/>
        <w:bidi w:val="0"/>
        <w:ind w:hanging="0" w:start="0"/>
        <w:rPr>
          <w:rFonts w:ascii="方正小标宋_GBK" w:hAnsi="方正小标宋_GBK" w:eastAsia="方正小标宋_GBK" w:cs="方正小标宋_GBK"/>
        </w:rPr>
      </w:pPr>
      <w:r>
        <w:rPr>
          <w:rFonts w:ascii="方正小标宋_GBK" w:hAnsi="方正小标宋_GBK" w:cs="方正小标宋_GBK" w:eastAsia="方正小标宋_GBK"/>
        </w:rPr>
        <w:t>湖北省农产品订单（买卖）合同</w:t>
      </w:r>
    </w:p>
    <w:p>
      <w:pPr>
        <w:pStyle w:val="Normal"/>
        <w:snapToGrid w:val="false"/>
        <w:spacing w:lineRule="auto" w:line="312"/>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Normal"/>
        <w:snapToGrid w:val="false"/>
        <w:spacing w:lineRule="auto" w:line="312"/>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Normal"/>
        <w:snapToGrid w:val="false"/>
        <w:spacing w:lineRule="auto" w:line="312"/>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Normal"/>
        <w:snapToGrid w:val="false"/>
        <w:spacing w:lineRule="auto" w:line="312"/>
        <w:jc w:val="center"/>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Normal"/>
        <w:snapToGrid w:val="false"/>
        <w:spacing w:lineRule="auto" w:line="312"/>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Normal"/>
        <w:snapToGrid w:val="false"/>
        <w:spacing w:lineRule="auto" w:line="312"/>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Normal"/>
        <w:snapToGrid w:val="false"/>
        <w:spacing w:lineRule="auto" w:line="312"/>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Normal"/>
        <w:snapToGrid w:val="false"/>
        <w:spacing w:lineRule="auto" w:line="312"/>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Normal"/>
        <w:snapToGrid w:val="false"/>
        <w:spacing w:lineRule="auto" w:line="312"/>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Normal"/>
        <w:snapToGrid w:val="false"/>
        <w:spacing w:lineRule="auto" w:line="312"/>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Normal"/>
        <w:snapToGrid w:val="false"/>
        <w:spacing w:lineRule="auto" w:line="312"/>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Normal"/>
        <w:snapToGrid w:val="false"/>
        <w:spacing w:lineRule="auto" w:line="312"/>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Normal"/>
        <w:snapToGrid w:val="false"/>
        <w:spacing w:lineRule="auto" w:line="312" w:before="0" w:after="360"/>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Normal"/>
        <w:snapToGrid w:val="false"/>
        <w:spacing w:lineRule="auto" w:line="312" w:before="0" w:after="360"/>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Normal"/>
        <w:snapToGrid w:val="false"/>
        <w:spacing w:lineRule="auto" w:line="312" w:before="0" w:after="360"/>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Normal"/>
        <w:snapToGrid w:val="false"/>
        <w:spacing w:lineRule="auto" w:line="312" w:before="0" w:after="360"/>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Normal"/>
        <w:snapToGrid w:val="false"/>
        <w:spacing w:lineRule="auto" w:line="312" w:before="0" w:after="360"/>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Normal"/>
        <w:snapToGrid w:val="false"/>
        <w:spacing w:lineRule="auto" w:line="312" w:before="0" w:after="360"/>
        <w:rPr>
          <w:rFonts w:ascii="Times New Roman;DejaVu Sans" w:hAnsi="Times New Roman;DejaVu Sans" w:eastAsia="方正书宋简体;方正书宋_GBK" w:cs="Times New Roman;DejaVu Sans"/>
          <w:b/>
          <w:bCs/>
          <w:color w:val="000000"/>
          <w:sz w:val="22"/>
          <w:szCs w:val="22"/>
        </w:rPr>
      </w:pPr>
      <w:r>
        <w:rPr>
          <w:rFonts w:eastAsia="方正书宋简体;方正书宋_GBK" w:cs="Times New Roman;DejaVu Sans"/>
          <w:b/>
          <w:bCs/>
          <w:color w:val="000000"/>
          <w:sz w:val="22"/>
          <w:szCs w:val="22"/>
        </w:rPr>
      </w:r>
    </w:p>
    <w:p>
      <w:pPr>
        <w:pStyle w:val="Normal"/>
        <w:snapToGrid w:val="false"/>
        <w:spacing w:lineRule="auto" w:line="276"/>
        <w:rPr>
          <w:rFonts w:ascii="Times New Roman;DejaVu Sans" w:hAnsi="Times New Roman;DejaVu Sans" w:eastAsia="方正书宋简体;方正书宋_GBK" w:cs="Times New Roman;DejaVu Sans"/>
          <w:color w:val="000000"/>
          <w:sz w:val="22"/>
          <w:szCs w:val="22"/>
          <w:lang w:val="zh-CN" w:eastAsia="zh-CN"/>
        </w:rPr>
      </w:pPr>
      <w:r>
        <w:rPr>
          <w:rFonts w:ascii="Times New Roman;DejaVu Sans" w:hAnsi="Times New Roman;DejaVu Sans" w:cs="Times New Roman;DejaVu Sans" w:eastAsia="Times New Roman;DejaVu Sans"/>
          <w:color w:val="000000"/>
          <w:sz w:val="22"/>
          <w:szCs w:val="22"/>
          <w:lang w:val="zh-CN" w:eastAsia="zh-CN"/>
        </w:rPr>
        <w:t xml:space="preserve">                </w:t>
      </w:r>
    </w:p>
    <w:p>
      <w:pPr>
        <w:pStyle w:val="Heading3"/>
        <w:bidi w:val="0"/>
        <w:ind w:hanging="0" w:start="0"/>
        <w:rPr>
          <w:lang w:val="zh-CN" w:eastAsia="zh-CN"/>
        </w:rPr>
      </w:pPr>
      <w:r>
        <w:rPr>
          <w:lang w:val="zh-CN" w:eastAsia="zh-CN"/>
        </w:rPr>
        <w:t>湖北省工商行政管理局监制</w:t>
      </w:r>
      <w:r>
        <w:br w:type="page"/>
      </w:r>
    </w:p>
    <w:p>
      <w:pPr>
        <w:pStyle w:val="Normal"/>
        <w:snapToGrid w:val="false"/>
        <w:spacing w:lineRule="auto" w:line="312"/>
        <w:ind w:firstLine="567" w:end="0"/>
        <w:jc w:val="center"/>
        <w:rPr>
          <w:rStyle w:val="1Char"/>
          <w:rFonts w:ascii="Times New Roman;DejaVu Sans" w:hAnsi="Times New Roman;DejaVu Sans" w:eastAsia="方正书宋简体;方正书宋_GBK" w:cs="Times New Roman;DejaVu Sans"/>
          <w:color w:val="000000"/>
          <w:sz w:val="22"/>
          <w:szCs w:val="22"/>
        </w:rPr>
      </w:pPr>
      <w:r>
        <w:rPr>
          <w:rFonts w:eastAsia="方正书宋简体;方正书宋_GBK" w:cs="Times New Roman;DejaVu Sans"/>
          <w:b/>
          <w:bCs/>
          <w:color w:val="000000"/>
          <w:sz w:val="22"/>
          <w:szCs w:val="22"/>
          <w:lang w:val="zh-CN" w:eastAsia="zh-CN"/>
        </w:rPr>
      </w:r>
    </w:p>
    <w:p>
      <w:pPr>
        <w:pStyle w:val="Normal"/>
        <w:snapToGrid w:val="false"/>
        <w:spacing w:lineRule="auto" w:line="312"/>
        <w:ind w:firstLine="567"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一、本合同是根据《中华人民共和国合同法》、《中华人民共和国消费者权益保护法》、《湖北省合同监督条例》等法律法规制定的合同示范文本，供当事人参照使用。</w:t>
      </w:r>
    </w:p>
    <w:p>
      <w:pPr>
        <w:pStyle w:val="Normal"/>
        <w:snapToGrid w:val="false"/>
        <w:spacing w:lineRule="auto" w:line="312"/>
        <w:ind w:firstLine="567"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二、本合同适用范围：{适用范围}。</w:t>
      </w:r>
    </w:p>
    <w:p>
      <w:pPr>
        <w:pStyle w:val="Normal"/>
        <w:snapToGrid w:val="false"/>
        <w:spacing w:lineRule="auto" w:line="312"/>
        <w:ind w:firstLine="567"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三、签订本合同时应慎重、严密。约定的条款须表述清楚，无须约定的条款请注明“本合同对此条款无约定”。</w:t>
      </w:r>
    </w:p>
    <w:p>
      <w:pPr>
        <w:pStyle w:val="Normal"/>
        <w:snapToGrid w:val="false"/>
        <w:spacing w:lineRule="auto" w:line="312"/>
        <w:ind w:firstLine="567"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四、本合同未尽事项，合同双方当事人可根据实际情况另行签订补充协议。</w:t>
      </w:r>
    </w:p>
    <w:p>
      <w:pPr>
        <w:pStyle w:val="Normal"/>
        <w:snapToGrid w:val="false"/>
        <w:spacing w:lineRule="auto" w:line="312"/>
        <w:ind w:firstLine="567"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五、</w:t>
      </w:r>
      <w:r>
        <w:rPr>
          <w:rFonts w:ascii="方正书宋_GBK" w:hAnsi="方正书宋_GBK" w:cs="方正书宋_GBK" w:eastAsia="方正书宋_GBK"/>
          <w:sz w:val="22"/>
          <w:szCs w:val="22"/>
        </w:rPr>
        <w:t>本合同文本</w:t>
      </w:r>
      <w:r>
        <w:rPr>
          <w:rFonts w:ascii="方正书宋_GBK" w:hAnsi="方正书宋_GBK" w:cs="方正书宋_GBK" w:eastAsia="方正书宋_GBK"/>
          <w:color w:val="000000"/>
          <w:sz w:val="22"/>
          <w:szCs w:val="22"/>
        </w:rPr>
        <w:t>由湖北省工商行政管理局负责解释，</w:t>
      </w:r>
      <w:r>
        <w:rPr>
          <w:rFonts w:ascii="方正书宋_GBK" w:hAnsi="方正书宋_GBK" w:cs="方正书宋_GBK" w:eastAsia="方正书宋_GBK"/>
          <w:sz w:val="22"/>
          <w:szCs w:val="22"/>
        </w:rPr>
        <w:t>自发布之日起</w:t>
      </w:r>
      <w:r>
        <w:rPr>
          <w:rFonts w:ascii="方正书宋_GBK" w:hAnsi="方正书宋_GBK" w:cs="方正书宋_GBK" w:eastAsia="方正书宋_GBK"/>
          <w:color w:val="000000"/>
          <w:sz w:val="22"/>
          <w:szCs w:val="22"/>
        </w:rPr>
        <w:t>在全省范围内推行使用。</w:t>
      </w:r>
    </w:p>
    <w:p>
      <w:pPr>
        <w:pStyle w:val="Normal"/>
        <w:snapToGrid w:val="false"/>
        <w:spacing w:lineRule="auto" w:line="312"/>
        <w:ind w:firstLine="567" w:end="0"/>
        <w:rPr>
          <w:rFonts w:ascii="Times New Roman;DejaVu Sans" w:hAnsi="Times New Roman;DejaVu Sans" w:eastAsia="方正书宋简体;方正书宋_GBK" w:cs="Times New Roman;DejaVu Sans"/>
          <w:color w:val="000000"/>
          <w:sz w:val="22"/>
          <w:szCs w:val="22"/>
        </w:rPr>
      </w:pPr>
      <w:r>
        <w:rPr>
          <w:rFonts w:eastAsia="方正书宋简体;方正书宋_GBK" w:cs="Times New Roman;DejaVu Sans"/>
          <w:color w:val="000000"/>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{甲方（买受人）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 xml:space="preserve">        签订地点：{签订地点}</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color w:val="000000"/>
          <w:sz w:val="22"/>
          <w:szCs w:val="22"/>
        </w:rPr>
        <w:t>{乙方（卖出人）</w:t>
      </w:r>
      <w:r>
        <w:rPr>
          <w:rFonts w:ascii="方正书宋_GBK" w:hAnsi="方正书宋_GBK" w:cs="方正书宋_GBK" w:eastAsia="方正书宋_GBK"/>
          <w:color w:val="000000"/>
          <w:sz w:val="22"/>
          <w:szCs w:val="22"/>
          <w:u w:val="single"/>
        </w:rPr>
        <w:t>}：{签订时间}</w:t>
      </w:r>
      <w:r>
        <w:rPr>
          <w:rFonts w:ascii="方正书宋_GBK" w:hAnsi="方正书宋_GBK" w:cs="方正书宋_GBK" w:eastAsia="方正书宋_GBK"/>
          <w:color w:val="000000"/>
          <w:sz w:val="22"/>
          <w:szCs w:val="22"/>
        </w:rPr>
      </w:r>
      <w:r>
        <w:rPr>
          <w:rFonts w:ascii="方正书宋_GBK" w:hAnsi="方正书宋_GBK" w:cs="方正书宋_GBK" w:eastAsia="方正书宋_GBK"/>
          <w:b/>
          <w:color w:val="000000"/>
          <w:sz w:val="22"/>
          <w:szCs w:val="22"/>
          <w:u w:val="single"/>
        </w:rPr>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为适应农业产业结构调整，促进农业和农村经济的发展，提高农民和企业的经济效益，发展“订单农业”，根据《中华人民共和国合同法》、《中华人民共和国消费者权益保护法》、《湖北省合同监督条例》，经甲、乙双方协商一致，订立本合同，以共同遵守。</w:t>
      </w:r>
    </w:p>
    <w:p>
      <w:pPr>
        <w:pStyle w:val="Heading2"/>
        <w:bidi w:val="0"/>
        <w:rPr>
          <w:rFonts w:ascii="方正黑体_GBK" w:hAnsi="方正黑体_GBK" w:eastAsia="方正黑体_GBK" w:cs="方正黑体_GBK"/>
        </w:rPr>
      </w:pPr>
      <w:r>
        <w:rPr>
          <w:rFonts w:ascii="方正黑体_GBK" w:hAnsi="方正黑体_GBK" w:cs="方正黑体_GBK"/>
        </w:rPr>
        <w:t>第一条  买卖标的{品种、等级、质量}</w:t>
      </w:r>
    </w:p>
    <w:tbl>
      <w:tblPr>
        <w:tblW w:w="8590" w:type="dxa"/>
        <w:jc w:val="start"/>
        <w:tblInd w:w="195" w:type="dxa"/>
        <w:tblLayout w:type="fixed"/>
        <w:tblCellMar>
          <w:top w:w="15" w:type="dxa"/>
          <w:start w:w="15" w:type="dxa"/>
          <w:bottom w:w="15" w:type="dxa"/>
          <w:end w:w="15" w:type="dxa"/>
        </w:tblCellMar>
      </w:tblPr>
      <w:tblGrid>
        <w:gridCol w:w="720"/>
        <w:gridCol w:w="1080"/>
        <w:gridCol w:w="930"/>
        <w:gridCol w:w="720"/>
        <w:gridCol w:w="1050"/>
        <w:gridCol w:w="900"/>
        <w:gridCol w:w="1860"/>
        <w:gridCol w:w="1330"/>
      </w:tblGrid>
      <w:tr>
        <w:trPr>
          <w:trHeight w:val="715" w:hRule="atLeast"/>
        </w:trPr>
        <w:tc>
          <w:tcPr>
            <w:tcW w:w="720" w:type="dxa"/>
            <w:tcBorders>
              <w:top w:val="single" w:sz="4" w:space="0" w:color="000000"/>
              <w:start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sz w:val="18"/>
                <w:szCs w:val="18"/>
              </w:rPr>
              <w:t>序号</w:t>
            </w:r>
          </w:p>
        </w:tc>
        <w:tc>
          <w:tcPr>
            <w:tcW w:w="1080" w:type="dxa"/>
            <w:tcBorders>
              <w:top w:val="single" w:sz="4" w:space="0" w:color="000000"/>
              <w:start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品种</w:t>
            </w:r>
          </w:p>
        </w:tc>
        <w:tc>
          <w:tcPr>
            <w:tcW w:w="930" w:type="dxa"/>
            <w:tcBorders>
              <w:top w:val="single" w:sz="4" w:space="0" w:color="000000"/>
              <w:start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等级</w:t>
            </w:r>
          </w:p>
        </w:tc>
        <w:tc>
          <w:tcPr>
            <w:tcW w:w="720" w:type="dxa"/>
            <w:tcBorders>
              <w:top w:val="single" w:sz="4" w:space="0" w:color="000000"/>
              <w:start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单位</w:t>
            </w:r>
          </w:p>
        </w:tc>
        <w:tc>
          <w:tcPr>
            <w:tcW w:w="1050" w:type="dxa"/>
            <w:tcBorders>
              <w:top w:val="single" w:sz="4" w:space="0" w:color="000000"/>
              <w:start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数量</w:t>
            </w:r>
          </w:p>
        </w:tc>
        <w:tc>
          <w:tcPr>
            <w:tcW w:w="900" w:type="dxa"/>
            <w:tcBorders>
              <w:top w:val="single" w:sz="4" w:space="0" w:color="000000"/>
              <w:start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单价</w:t>
            </w:r>
          </w:p>
        </w:tc>
        <w:tc>
          <w:tcPr>
            <w:tcW w:w="1860" w:type="dxa"/>
            <w:tcBorders>
              <w:top w:val="single" w:sz="4" w:space="0" w:color="000000"/>
              <w:start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金额（元）</w:t>
            </w:r>
          </w:p>
        </w:tc>
        <w:tc>
          <w:tcPr>
            <w:tcW w:w="1330" w:type="dxa"/>
            <w:tcBorders>
              <w:top w:val="single" w:sz="4" w:space="0" w:color="000000"/>
              <w:start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质量要求</w:t>
            </w:r>
          </w:p>
        </w:tc>
      </w:tr>
      <w:tr>
        <w:trPr>
          <w:trHeight w:val="615" w:hRule="atLeast"/>
        </w:trPr>
        <w:tc>
          <w:tcPr>
            <w:tcW w:w="7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kern w:val="0"/>
                <w:sz w:val="18"/>
                <w:szCs w:val="18"/>
              </w:rPr>
              <w:t> </w:t>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kern w:val="0"/>
                <w:sz w:val="18"/>
                <w:szCs w:val="18"/>
              </w:rPr>
              <w:t> </w:t>
            </w:r>
          </w:p>
        </w:tc>
        <w:tc>
          <w:tcPr>
            <w:tcW w:w="105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kern w:val="0"/>
                <w:sz w:val="18"/>
                <w:szCs w:val="18"/>
              </w:rPr>
              <w:t> </w:t>
            </w:r>
          </w:p>
        </w:tc>
        <w:tc>
          <w:tcPr>
            <w:tcW w:w="18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kern w:val="0"/>
                <w:sz w:val="18"/>
                <w:szCs w:val="18"/>
              </w:rPr>
              <w:t> </w:t>
            </w:r>
          </w:p>
        </w:tc>
      </w:tr>
      <w:tr>
        <w:trPr>
          <w:trHeight w:val="96" w:hRule="atLeast"/>
        </w:trPr>
        <w:tc>
          <w:tcPr>
            <w:tcW w:w="720" w:type="dxa"/>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80" w:type="dxa"/>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30" w:type="dxa"/>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720" w:type="dxa"/>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1050" w:type="dxa"/>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900" w:type="dxa"/>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 </w:t>
            </w:r>
          </w:p>
        </w:tc>
        <w:tc>
          <w:tcPr>
            <w:tcW w:w="1860" w:type="dxa"/>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1330" w:type="dxa"/>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r>
      <w:tr>
        <w:trPr>
          <w:trHeight w:val="55" w:hRule="atLeast"/>
        </w:trPr>
        <w:tc>
          <w:tcPr>
            <w:tcW w:w="7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9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 </w:t>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 </w:t>
            </w:r>
          </w:p>
        </w:tc>
        <w:tc>
          <w:tcPr>
            <w:tcW w:w="105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 </w:t>
            </w:r>
          </w:p>
        </w:tc>
        <w:tc>
          <w:tcPr>
            <w:tcW w:w="18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 </w:t>
            </w:r>
          </w:p>
        </w:tc>
        <w:tc>
          <w:tcPr>
            <w:tcW w:w="13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 </w:t>
            </w:r>
          </w:p>
        </w:tc>
      </w:tr>
      <w:tr>
        <w:trPr>
          <w:trHeight w:val="285" w:hRule="atLeast"/>
        </w:trPr>
        <w:tc>
          <w:tcPr>
            <w:tcW w:w="7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9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 </w:t>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 </w:t>
            </w:r>
          </w:p>
        </w:tc>
        <w:tc>
          <w:tcPr>
            <w:tcW w:w="105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 </w:t>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 </w:t>
            </w:r>
          </w:p>
        </w:tc>
        <w:tc>
          <w:tcPr>
            <w:tcW w:w="18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 </w:t>
            </w:r>
          </w:p>
        </w:tc>
        <w:tc>
          <w:tcPr>
            <w:tcW w:w="13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 </w:t>
            </w:r>
          </w:p>
        </w:tc>
      </w:tr>
      <w:tr>
        <w:trPr>
          <w:trHeight w:val="238" w:hRule="atLeast"/>
        </w:trPr>
        <w:tc>
          <w:tcPr>
            <w:tcW w:w="7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9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105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18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13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r>
      <w:tr>
        <w:trPr>
          <w:trHeight w:val="272" w:hRule="atLeast"/>
        </w:trPr>
        <w:tc>
          <w:tcPr>
            <w:tcW w:w="8590" w:type="dxa"/>
            <w:gridSpan w:val="8"/>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b/>
                <w:color w:val="000000"/>
                <w:kern w:val="0"/>
                <w:sz w:val="18"/>
                <w:szCs w:val="18"/>
              </w:rPr>
            </w:pPr>
            <w:r>
              <w:rPr>
                <w:rFonts w:ascii="方正书宋_GBK" w:hAnsi="方正书宋_GBK" w:cs="方正书宋_GBK" w:eastAsia="方正书宋_GBK"/>
                <w:b/>
                <w:color w:val="000000"/>
                <w:kern w:val="0"/>
                <w:sz w:val="18"/>
                <w:szCs w:val="18"/>
              </w:rPr>
              <w:t>合计人民币金额（大写）：</w:t>
            </w:r>
          </w:p>
        </w:tc>
      </w:tr>
    </w:tbl>
    <w:p>
      <w:pPr>
        <w:pStyle w:val="Heading2"/>
        <w:bidi w:val="0"/>
        <w:rPr/>
      </w:pPr>
      <w:r>
        <w:rPr/>
        <w:t>第二条</w:t>
      </w:r>
      <w:r>
        <w:rPr>
          <w:rFonts w:eastAsia="Calibri Light;DejaVu Sans"/>
        </w:rPr>
        <w:t xml:space="preserve"> {</w:t>
      </w:r>
      <w:r>
        <w:rPr/>
        <w:t>标的交售日期}、{数量}及{价格}</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、乙方在</w:t>
      </w:r>
      <w:r>
        <w:rPr>
          <w:rFonts w:ascii="方正书宋_GBK" w:hAnsi="方正书宋_GBK" w:cs="方正书宋_GBK" w:eastAsia="方正书宋_GBK"/>
          <w:color w:val="000000"/>
          <w:sz w:val="22"/>
          <w:szCs w:val="22"/>
          <w:u w:val="single"/>
        </w:rPr>
        <w:t xml:space="preserve"> {年1}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{月1</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 xml:space="preserve"> 月 {</w:t>
      </w:r>
      <w:r>
        <w:rPr>
          <w:rFonts w:ascii="方正书宋_GBK" w:hAnsi="方正书宋_GBK" w:cs="方正书宋_GBK" w:eastAsia="方正书宋_GBK"/>
          <w:color w:val="000000"/>
          <w:sz w:val="22"/>
          <w:szCs w:val="22"/>
        </w:rPr>
        <w:t>日</w:t>
      </w:r>
      <w:r>
        <w:rPr>
          <w:rFonts w:eastAsia="方正书宋_GBK" w:cs="方正书宋_GBK" w:ascii="方正书宋_GBK" w:hAnsi="方正书宋_GBK"/>
          <w:color w:val="000000"/>
          <w:sz w:val="22"/>
          <w:szCs w:val="22"/>
        </w:rPr>
      </w:r>
      <w:r>
        <w:rPr>
          <w:rFonts w:ascii="方正书宋_GBK" w:hAnsi="方正书宋_GBK" w:cs="方正书宋_GBK" w:eastAsia="方正书宋_GBK"/>
          <w:color w:val="000000"/>
          <w:sz w:val="22"/>
          <w:szCs w:val="22"/>
        </w:rPr>
        <w:t>1</w:t>
      </w:r>
      <w:r>
        <w:rPr>
          <w:rFonts w:ascii="方正书宋_GBK" w:hAnsi="方正书宋_GBK" w:cs="方正书宋_GBK" w:eastAsia="方正书宋_GBK"/>
          <w:color w:val="000000"/>
          <w:sz w:val="22"/>
          <w:szCs w:val="22"/>
          <w:u w:val="single"/>
        </w:rPr>
        <w:t>} 日至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2} 年</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{月2}</w:t>
      </w:r>
      <w:r>
        <w:rPr>
          <w:rFonts w:ascii="方正书宋_GBK" w:hAnsi="方正书宋_GBK" w:cs="方正书宋_GBK" w:eastAsia="方正书宋_GBK"/>
          <w:color w:val="000000"/>
          <w:sz w:val="22"/>
          <w:szCs w:val="22"/>
        </w:rPr>
        <w:t xml:space="preserve"> 月 {日</w:t>
      </w:r>
      <w:r>
        <w:rPr>
          <w:rFonts w:ascii="方正书宋_GBK" w:hAnsi="方正书宋_GBK" w:cs="方正书宋_GBK" w:eastAsia="方正书宋_GBK"/>
          <w:color w:val="000000"/>
          <w:sz w:val="22"/>
          <w:szCs w:val="22"/>
          <w:u w:val="single"/>
        </w:rPr>
        <w:t>2} 日之间</w:t>
      </w:r>
      <w:r>
        <w:rPr>
          <w:rFonts w:ascii="方正书宋_GBK" w:hAnsi="方正书宋_GBK" w:cs="方正书宋_GBK" w:eastAsia="方正书宋_GBK"/>
          <w:color w:val="000000"/>
          <w:sz w:val="22"/>
          <w:szCs w:val="22"/>
        </w:rPr>
        <w:t>（或</w:t>
      </w:r>
      <w:r>
        <w:rPr>
          <w:rFonts w:ascii="方正书宋_GBK" w:hAnsi="方正书宋_GBK" w:cs="方正书宋_GBK" w:eastAsia="方正书宋_GBK"/>
          <w:color w:val="000000"/>
          <w:sz w:val="22"/>
          <w:szCs w:val="22"/>
          <w:u w:val="single"/>
        </w:rPr>
        <w:t xml:space="preserve"> {月份} </w:t>
      </w:r>
      <w:r>
        <w:rPr>
          <w:rFonts w:ascii="方正书宋_GBK" w:hAnsi="方正书宋_GBK" w:cs="方正书宋_GBK" w:eastAsia="方正书宋_GBK"/>
          <w:color w:val="000000"/>
          <w:sz w:val="22"/>
          <w:szCs w:val="22"/>
        </w:rPr>
        <w:t>月 {旬} 旬内），向甲方交售农产品。</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、所售农产品最低价格（保护价）</w:t>
      </w:r>
      <w:r>
        <w:rPr>
          <w:rFonts w:ascii="方正书宋_GBK" w:hAnsi="方正书宋_GBK" w:cs="方正书宋_GBK" w:eastAsia="方正书宋_GBK"/>
          <w:color w:val="000000"/>
          <w:sz w:val="22"/>
          <w:szCs w:val="22"/>
          <w:u w:val="single"/>
        </w:rPr>
        <w:t>{最低价格}</w:t>
      </w:r>
      <w:r>
        <w:rPr>
          <w:rFonts w:ascii="方正书宋_GBK" w:hAnsi="方正书宋_GBK" w:cs="方正书宋_GBK" w:eastAsia="方正书宋_GBK"/>
          <w:color w:val="000000"/>
          <w:sz w:val="22"/>
          <w:szCs w:val="22"/>
        </w:rPr>
        <w:t>元</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公斤，市场行情上涨超过</w:t>
      </w:r>
      <w:r>
        <w:rPr>
          <w:rFonts w:ascii="方正书宋_GBK" w:hAnsi="方正书宋_GBK" w:cs="方正书宋_GBK" w:eastAsia="方正书宋_GBK"/>
          <w:color w:val="000000"/>
          <w:sz w:val="22"/>
          <w:szCs w:val="22"/>
          <w:u w:val="single"/>
        </w:rPr>
        <w:t>{涨幅百</w:t>
      </w:r>
      <w:r>
        <w:rPr>
          <w:rFonts w:eastAsia="方正书宋_GBK" w:cs="方正书宋_GBK" w:ascii="方正书宋_GBK" w:hAnsi="方正书宋_GBK"/>
          <w:color w:val="000000"/>
          <w:sz w:val="22"/>
          <w:szCs w:val="22"/>
        </w:rPr>
        <w:t>分</w:t>
      </w:r>
      <w:r>
        <w:rPr>
          <w:rFonts w:ascii="方正书宋_GBK" w:hAnsi="方正书宋_GBK" w:cs="方正书宋_GBK" w:eastAsia="方正书宋_GBK"/>
          <w:color w:val="000000"/>
          <w:sz w:val="22"/>
          <w:szCs w:val="22"/>
        </w:rPr>
        <w:t>比}%时，由甲方按市场价格进行收购。</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、甲、乙双方的任何一方如需提前或延期交货与提货，均应事先通知对方，双方另行达成新的协议。</w:t>
      </w:r>
    </w:p>
    <w:p>
      <w:pPr>
        <w:pStyle w:val="Heading2"/>
        <w:bidi w:val="0"/>
        <w:rPr/>
      </w:pPr>
      <w:r>
        <w:rPr/>
        <w:t>第三条</w:t>
      </w:r>
      <w:r>
        <w:rPr>
          <w:rFonts w:eastAsia="Calibri Light;DejaVu Sans"/>
        </w:rPr>
        <w:t xml:space="preserve">  </w:t>
      </w:r>
      <w:r>
        <w:rPr/>
        <w:t>产品{包装}</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农产品的包装，由甲乙双方协商包装办法</w:t>
      </w:r>
      <w:r>
        <w:rPr>
          <w:rFonts w:ascii="方正书宋_GBK" w:hAnsi="方正书宋_GBK" w:cs="方正书宋_GBK" w:eastAsia="方正书宋_GBK"/>
          <w:color w:val="000000"/>
          <w:sz w:val="22"/>
          <w:szCs w:val="22"/>
        </w:rPr>
        <w:t>（包括{包装物标准}、{包装费用}、{包装物回收方式}等）。</w:t>
      </w:r>
    </w:p>
    <w:p>
      <w:pPr>
        <w:pStyle w:val="Heading2"/>
        <w:bidi w:val="0"/>
        <w:rPr/>
      </w:pPr>
      <w:r>
        <w:rPr/>
        <w:t>第四条</w:t>
      </w:r>
      <w:r>
        <w:rPr>
          <w:rFonts w:eastAsia="Calibri Light;DejaVu Sans"/>
        </w:rPr>
        <w:t xml:space="preserve">  </w:t>
      </w:r>
      <w:r>
        <w:rPr/>
        <w:t>交货方式、{验收}、{结算方式}</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、实行乙方送货到</w:t>
      </w:r>
      <w:r>
        <w:rPr>
          <w:rFonts w:ascii="方正书宋_GBK" w:hAnsi="方正书宋_GBK" w:cs="方正书宋_GBK" w:eastAsia="方正书宋_GBK"/>
          <w:color w:val="000000"/>
          <w:sz w:val="22"/>
          <w:szCs w:val="22"/>
          <w:u w:val="single"/>
        </w:rPr>
        <w:t>{收购地点}收 acquisition</w:t>
      </w:r>
      <w:r>
        <w:rPr>
          <w:rFonts w:ascii="方正书宋_GBK" w:hAnsi="方正书宋_GBK" w:cs="方正书宋_GBK" w:eastAsia="方正书宋_GBK"/>
          <w:color w:val="000000"/>
          <w:sz w:val="22"/>
          <w:szCs w:val="22"/>
        </w:rPr>
        <w:t xml:space="preserve"> 点，货物由甲方当面验收。</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、货款由甲方支付给乙方，货到付款。货款按下列第</w:t>
      </w:r>
      <w:r>
        <w:rPr>
          <w:rFonts w:ascii="方正书宋_GBK" w:hAnsi="方正书宋_GBK" w:cs="方正书宋_GBK" w:eastAsia="方正书宋_GBK"/>
          <w:color w:val="000000"/>
          <w:sz w:val="22"/>
          <w:szCs w:val="22"/>
          <w:u w:val="single"/>
        </w:rPr>
        <w:t xml:space="preserve"> {结算方</w:t>
      </w:r>
      <w:r>
        <w:rPr>
          <w:rFonts w:ascii="方正书宋_GBK" w:hAnsi="方正书宋_GBK" w:cs="方正书宋_GBK" w:eastAsia="方正书宋_GBK"/>
          <w:color w:val="000000"/>
          <w:sz w:val="22"/>
          <w:szCs w:val="22"/>
        </w:rPr>
        <w:t>式} 种方式结算：</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（一）现金结算；</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rPr>
        <w:t>（二）通过银行卡结算</w:t>
      </w:r>
      <w:r>
        <w:rPr>
          <w:rFonts w:ascii="方正书宋_GBK" w:hAnsi="方正书宋_GBK" w:cs="方正书宋_GBK" w:eastAsia="方正书宋_GBK"/>
          <w:color w:val="000000"/>
          <w:sz w:val="22"/>
          <w:szCs w:val="22"/>
          <w:lang w:eastAsia="zh-CN"/>
        </w:rPr>
        <w:t>；</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（三）其它付款方式。</w:t>
      </w:r>
    </w:p>
    <w:p>
      <w:pPr>
        <w:pStyle w:val="Heading2"/>
        <w:bidi w:val="0"/>
        <w:rPr/>
      </w:pPr>
      <w:r>
        <w:rPr/>
        <w:t>第五条</w:t>
      </w:r>
      <w:r>
        <w:rPr>
          <w:rFonts w:eastAsia="Calibri Light;DejaVu Sans"/>
        </w:rPr>
        <w:t xml:space="preserve"> 违</w:t>
      </w:r>
      <w:r>
        <w:rPr/>
        <w:t>约责任</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、甲方在合同履行中无理由退货的，应支付乙方退货部分货款总额</w:t>
      </w:r>
      <w:r>
        <w:rPr>
          <w:rFonts w:ascii="方正书宋_GBK" w:hAnsi="方正书宋_GBK" w:cs="方正书宋_GBK" w:eastAsia="方正书宋_GBK"/>
          <w:color w:val="000000"/>
          <w:sz w:val="22"/>
          <w:szCs w:val="22"/>
          <w:u w:val="single"/>
        </w:rPr>
        <w:t>{违约</w:t>
      </w:r>
      <w:r>
        <w:rPr>
          <w:rFonts w:ascii="方正书宋_GBK" w:hAnsi="方正书宋_GBK" w:cs="方正书宋_GBK" w:eastAsia="方正书宋_GBK"/>
          <w:color w:val="000000"/>
          <w:sz w:val="22"/>
          <w:szCs w:val="22"/>
        </w:rPr>
        <w:t>金</w:t>
      </w:r>
      <w:r>
        <w:rPr>
          <w:rFonts w:eastAsia="方正书宋_GBK" w:cs="方正书宋_GBK" w:ascii="方正书宋_GBK" w:hAnsi="方正书宋_GBK"/>
          <w:color w:val="000000"/>
          <w:sz w:val="22"/>
          <w:szCs w:val="22"/>
        </w:rPr>
        <w:t>比</w:t>
      </w:r>
      <w:r>
        <w:rPr>
          <w:rFonts w:ascii="方正书宋_GBK" w:hAnsi="方正书宋_GBK" w:cs="方正书宋_GBK" w:eastAsia="方正书宋_GBK"/>
          <w:color w:val="000000"/>
          <w:sz w:val="22"/>
          <w:szCs w:val="22"/>
        </w:rPr>
        <w:t>例</w:t>
      </w:r>
      <w:r>
        <w:rPr>
          <w:rFonts w:eastAsia="方正书宋_GBK" w:cs="方正书宋_GBK" w:ascii="方正书宋_GBK" w:hAnsi="方正书宋_GBK"/>
          <w:color w:val="000000"/>
          <w:sz w:val="22"/>
          <w:szCs w:val="22"/>
        </w:rPr>
        <w:t>}的违</w:t>
      </w:r>
      <w:r>
        <w:rPr>
          <w:rFonts w:ascii="方正书宋_GBK" w:hAnsi="方正书宋_GBK" w:cs="方正书宋_GBK" w:eastAsia="方正书宋_GBK"/>
          <w:color w:val="000000"/>
          <w:sz w:val="22"/>
          <w:szCs w:val="22"/>
        </w:rPr>
        <w:t>约金。</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、甲方无故拒收乙方农产品，应向乙方支付被拒收货物价款</w:t>
      </w:r>
      <w:r>
        <w:rPr>
          <w:rFonts w:ascii="方正书宋_GBK" w:hAnsi="方正书宋_GBK" w:cs="方正书宋_GBK" w:eastAsia="方正书宋_GBK"/>
          <w:color w:val="000000"/>
          <w:sz w:val="22"/>
          <w:szCs w:val="22"/>
          <w:u w:val="single"/>
        </w:rPr>
        <w:t>{违约金</w:t>
      </w:r>
      <w:r>
        <w:rPr>
          <w:rFonts w:ascii="方正书宋_GBK" w:hAnsi="方正书宋_GBK" w:cs="方正书宋_GBK" w:eastAsia="方正书宋_GBK"/>
          <w:color w:val="000000"/>
          <w:sz w:val="22"/>
          <w:szCs w:val="22"/>
        </w:rPr>
        <w:t>比</w:t>
      </w:r>
      <w:r>
        <w:rPr>
          <w:rFonts w:eastAsia="方正书宋_GBK" w:cs="方正书宋_GBK" w:ascii="方正书宋_GBK" w:hAnsi="方正书宋_GBK"/>
          <w:color w:val="000000"/>
          <w:sz w:val="22"/>
          <w:szCs w:val="22"/>
        </w:rPr>
        <w:t>例</w:t>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的违约</w:t>
      </w:r>
      <w:r>
        <w:rPr>
          <w:rFonts w:ascii="方正书宋_GBK" w:hAnsi="方正书宋_GBK" w:cs="方正书宋_GBK" w:eastAsia="方正书宋_GBK"/>
          <w:color w:val="000000"/>
          <w:sz w:val="22"/>
          <w:szCs w:val="22"/>
        </w:rPr>
        <w:t>金。</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、甲方未按合同规定收购农产品的，应按少收部分货物价款</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违</w:t>
      </w:r>
      <w:r>
        <w:rPr>
          <w:rFonts w:eastAsia="方正书宋_GBK" w:cs="方正书宋_GBK" w:ascii="方正书宋_GBK" w:hAnsi="方正书宋_GBK"/>
          <w:color w:val="000000"/>
          <w:sz w:val="22"/>
          <w:szCs w:val="22"/>
        </w:rPr>
        <w:t>约金比</w:t>
      </w:r>
      <w:r>
        <w:rPr>
          <w:rFonts w:ascii="方正书宋_GBK" w:hAnsi="方正书宋_GBK" w:cs="方正书宋_GBK" w:eastAsia="方正书宋_GBK"/>
          <w:color w:val="000000"/>
          <w:sz w:val="22"/>
          <w:szCs w:val="22"/>
        </w:rPr>
        <w:t>例}} 向乙方支付违约金。</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、乙方交货少于合同规定的，按少交货物价款</w:t>
      </w:r>
      <w:r>
        <w:rPr>
          <w:rFonts w:ascii="方正书宋_GBK" w:hAnsi="方正书宋_GBK" w:cs="方正书宋_GBK" w:eastAsia="方正书宋_GBK"/>
          <w:color w:val="000000"/>
          <w:sz w:val="22"/>
          <w:szCs w:val="22"/>
          <w:u w:val="single"/>
        </w:rPr>
        <w:t>{违约金比</w:t>
      </w:r>
      <w:r>
        <w:rPr>
          <w:rFonts w:ascii="方正书宋_GBK" w:hAnsi="方正书宋_GBK" w:cs="方正书宋_GBK" w:eastAsia="方正书宋_GBK"/>
          <w:color w:val="000000"/>
          <w:sz w:val="22"/>
          <w:szCs w:val="22"/>
        </w:rPr>
        <w:t>例</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向</w:t>
      </w:r>
      <w:r>
        <w:rPr>
          <w:rFonts w:eastAsia="方正书宋_GBK" w:cs="方正书宋_GBK" w:ascii="方正书宋_GBK" w:hAnsi="方正书宋_GBK"/>
          <w:color w:val="000000"/>
          <w:sz w:val="22"/>
          <w:szCs w:val="22"/>
        </w:rPr>
        <w:t>甲方支</w:t>
      </w:r>
      <w:r>
        <w:rPr>
          <w:rFonts w:ascii="方正书宋_GBK" w:hAnsi="方正书宋_GBK" w:cs="方正书宋_GBK" w:eastAsia="方正书宋_GBK"/>
          <w:color w:val="000000"/>
          <w:sz w:val="22"/>
          <w:szCs w:val="22"/>
        </w:rPr>
        <w:t>付违约金。</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、乙方在交售农产品时掺杂使假，以次充好，甲方有权拒收，乙方同时承担</w:t>
      </w:r>
      <w:r>
        <w:rPr>
          <w:rFonts w:ascii="方正书宋_GBK" w:hAnsi="方正书宋_GBK" w:cs="方正书宋_GBK" w:eastAsia="方正书宋_GBK"/>
          <w:color w:val="000000"/>
          <w:sz w:val="22"/>
          <w:szCs w:val="22"/>
          <w:u w:val="single"/>
        </w:rPr>
        <w:t xml:space="preserve"> {违约金比例</w:t>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的</w:t>
      </w:r>
      <w:r>
        <w:rPr>
          <w:rFonts w:eastAsia="方正书宋_GBK" w:cs="方正书宋_GBK" w:ascii="方正书宋_GBK" w:hAnsi="方正书宋_GBK"/>
          <w:color w:val="000000"/>
          <w:sz w:val="22"/>
          <w:szCs w:val="22"/>
        </w:rPr>
        <w:t>违约金</w:t>
      </w:r>
      <w:r>
        <w:rPr>
          <w:rFonts w:ascii="方正书宋_GBK" w:hAnsi="方正书宋_GBK" w:cs="方正书宋_GBK" w:eastAsia="方正书宋_GBK"/>
          <w:color w:val="000000"/>
          <w:sz w:val="22"/>
          <w:szCs w:val="22"/>
        </w:rPr>
        <w:t>。</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、乙方包装不符合规定的，甲方有权要求乙方重新包装，损失由乙方承担。</w:t>
      </w:r>
    </w:p>
    <w:p>
      <w:pPr>
        <w:pStyle w:val="Heading2"/>
        <w:bidi w:val="0"/>
        <w:rPr/>
      </w:pPr>
      <w:r>
        <w:rPr/>
        <w:t>第六条</w:t>
      </w:r>
      <w:r>
        <w:rPr>
          <w:rFonts w:eastAsia="Calibri Light;DejaVu Sans"/>
        </w:rPr>
        <w:t xml:space="preserve"> 不</w:t>
      </w:r>
      <w:r>
        <w:rPr/>
        <w:t>可抗力</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甲、乙双方的任何一方由于不可抗力的原因不能履行或不能完全履行合同时，应尽快向双方通报情况和理由，在提供相关证明后，可根据情况部分或全部免予承担违约责任，乙方如果由于不可抗力造成产品质量与合同规定不符的，不承担违约责任。</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{协商内容}农产</w:t>
      </w:r>
      <w:r>
        <w:rPr>
          <w:rFonts w:ascii="方正书宋_GBK" w:hAnsi="方正书宋_GBK" w:cs="方正书宋_GBK" w:eastAsia="方正书宋_GBK"/>
          <w:color w:val="000000"/>
          <w:sz w:val="22"/>
          <w:szCs w:val="22"/>
        </w:rPr>
        <w:t>品因受气候影响早熟或晚熟，经双方协商，可重新确定合理交（提）货期限。</w:t>
      </w:r>
    </w:p>
    <w:p>
      <w:pPr>
        <w:pStyle w:val="Heading2"/>
        <w:bidi w:val="0"/>
        <w:rPr/>
      </w:pPr>
      <w:r>
        <w:rPr/>
        <w:t>第七条</w:t>
      </w:r>
      <w:r>
        <w:rPr>
          <w:rFonts w:eastAsia="Calibri Light;DejaVu Sans"/>
        </w:rPr>
        <w:t xml:space="preserve">  </w:t>
      </w:r>
      <w:r>
        <w:rPr/>
        <w:t>合同的{变更与解除}</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、执行议定价格时，遇国家政策进行重大调整，其调价幅度高于或者低于议定价格的</w:t>
      </w:r>
      <w:r>
        <w:rPr>
          <w:rFonts w:eastAsia="方正书宋_GBK" w:cs="方正书宋_GBK" w:ascii="方正书宋_GBK" w:hAnsi="方正书宋_GBK"/>
          <w:color w:val="000000"/>
          <w:sz w:val="22"/>
          <w:szCs w:val="22"/>
        </w:rPr>
        <w:t>15%</w:t>
      </w:r>
      <w:r>
        <w:rPr>
          <w:rFonts w:ascii="方正书宋_GBK" w:hAnsi="方正书宋_GBK" w:cs="方正书宋_GBK" w:eastAsia="方正书宋_GBK"/>
          <w:color w:val="000000"/>
          <w:sz w:val="22"/>
          <w:szCs w:val="22"/>
        </w:rPr>
        <w:t>，甲、乙双方中的任何一方可以要求变更合同，也可以单方面宣布解除合同。</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、甲、乙双方的任何一方，请求变更或解除合同时，应及时书面通知对方。未达成协议前，原合同仍然有效。当事人一方收到另一方要求变更或解除合同建议后，应在十日内作出答复，逾期不答复视为默认。</w:t>
      </w:r>
    </w:p>
    <w:p>
      <w:pPr>
        <w:pStyle w:val="Heading2"/>
        <w:bidi w:val="0"/>
        <w:rPr/>
      </w:pPr>
      <w:r>
        <w:rPr/>
        <w:t>第八条</w:t>
      </w:r>
      <w:r>
        <w:rPr>
          <w:rFonts w:eastAsia="Calibri Light;DejaVu Sans"/>
        </w:rPr>
        <w:t xml:space="preserve"> 合</w:t>
      </w:r>
      <w:r>
        <w:rPr/>
        <w:t>同争议的解决方式 {争议解决方式}</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本合同在履行过程中发生的争议，由双方当事人协商解决；也可由当地工商行政管理部门调解；协商或调解不成的，按下列第</w:t>
      </w:r>
      <w:r>
        <w:rPr>
          <w:rFonts w:ascii="方正书宋_GBK" w:hAnsi="方正书宋_GBK" w:cs="方正书宋_GBK" w:eastAsia="方正书宋_GBK"/>
          <w:color w:val="000000"/>
          <w:sz w:val="22"/>
          <w:szCs w:val="22"/>
          <w:u w:val="single"/>
        </w:rPr>
        <w:t xml:space="preserve"> {争议解决</w:t>
      </w:r>
      <w:r>
        <w:rPr>
          <w:rFonts w:ascii="方正书宋_GBK" w:hAnsi="方正书宋_GBK" w:cs="方正书宋_GBK" w:eastAsia="方正书宋_GBK"/>
          <w:color w:val="000000"/>
          <w:sz w:val="22"/>
          <w:szCs w:val="22"/>
        </w:rPr>
        <w:t>方式} 种方式解决：</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（一）提交</w:t>
      </w:r>
      <w:r>
        <w:rPr>
          <w:rFonts w:ascii="方正书宋_GBK" w:hAnsi="方正书宋_GBK" w:cs="方正书宋_GBK" w:eastAsia="方正书宋_GBK"/>
          <w:color w:val="000000"/>
          <w:sz w:val="22"/>
          <w:szCs w:val="22"/>
          <w:u w:val="single"/>
        </w:rPr>
        <w:t xml:space="preserve"> {仲裁事项} 仲裁委</w:t>
      </w:r>
      <w:r>
        <w:rPr>
          <w:rFonts w:ascii="方正书宋_GBK" w:hAnsi="方正书宋_GBK" w:cs="方正书宋_GBK" w:eastAsia="方正书宋_GBK"/>
          <w:color w:val="000000"/>
          <w:sz w:val="22"/>
          <w:szCs w:val="22"/>
        </w:rPr>
        <w:t>员会仲裁；</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（二）依法向 </w:t>
      </w:r>
      <w:r>
        <w:rPr>
          <w:rFonts w:ascii="方正书宋_GBK" w:hAnsi="方正书宋_GBK" w:cs="方正书宋_GBK" w:eastAsia="方正书宋_GBK"/>
          <w:color w:val="000000"/>
          <w:sz w:val="22"/>
          <w:szCs w:val="22"/>
          <w:u w:val="single"/>
        </w:rPr>
        <w:t>{人民法院} 起</w:t>
      </w:r>
      <w:r>
        <w:rPr>
          <w:rFonts w:ascii="方正书宋_GBK" w:hAnsi="方正书宋_GBK" w:cs="方正书宋_GBK" w:eastAsia="方正书宋_GBK"/>
          <w:color w:val="000000"/>
          <w:sz w:val="22"/>
          <w:szCs w:val="22"/>
        </w:rPr>
        <w:t>诉。</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DejaVu Sans" w:hAnsi="Times New Roman;DejaVu Sans" w:eastAsia="方正书宋简体;方正书宋_GBK" w:cs="Times New Roman;DejaVu Sans"/>
          <w:color w:val="000000"/>
          <w:sz w:val="22"/>
          <w:szCs w:val="22"/>
        </w:rPr>
      </w:pPr>
      <w:r>
        <w:rPr>
          <w:rFonts w:ascii="Times New Roman;DejaVu Sans" w:hAnsi="Times New Roman;DejaVu Sans" w:cs="Times New Roman;DejaVu Sans" w:eastAsia="方正书宋简体;方正书宋_GBK"/>
          <w:color w:val="000000"/>
          <w:kern w:val="0"/>
          <w:sz w:val="22"/>
          <w:szCs w:val="22"/>
        </w:rPr>
        <w:t>效。</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DejaVu Sans" w:hAnsi="Times New Roman;DejaVu Sans" w:eastAsia="方正书宋简体;方正书宋_GBK" w:cs="Times New Roman;DejaVu Sans"/>
          <w:color w:val="000000"/>
          <w:sz w:val="22"/>
          <w:szCs w:val="22"/>
          <w:u w:val="single"/>
        </w:rPr>
      </w:pPr>
      <w:r>
        <w:rPr>
          <w:rFonts w:ascii="Times New Roman;DejaVu Sans" w:hAnsi="Times New Roman;DejaVu Sans" w:cs="Times New Roman;DejaVu Sans" w:eastAsia="Times New Roman;DejaVu Sans"/>
          <w:color w:val="000000"/>
          <w:sz w:val="22"/>
          <w:szCs w:val="22"/>
          <w:u w:val="single"/>
        </w:rPr>
        <w:t xml:space="preserve">                      </w:t>
      </w:r>
      <w:r>
        <w:rPr>
          <w:rFonts w:ascii="Times New Roman;DejaVu Sans" w:hAnsi="Times New Roman;DejaVu Sans" w:cs="Times New Roman;DejaVu Sans" w:eastAsia="Times New Roman;DejaVu Sans"/>
          <w:color w:val="000000"/>
          <w:sz w:val="22"/>
          <w:szCs w:val="22"/>
          <w:u w:val="single"/>
          <w:lang w:val="en-US" w:eastAsia="zh-CN"/>
        </w:rPr>
        <w:t xml:space="preserve">                          </w:t>
      </w:r>
      <w:r>
        <w:rPr>
          <w:rFonts w:ascii="Times New Roman;DejaVu Sans" w:hAnsi="Times New Roman;DejaVu Sans" w:cs="Times New Roman;DejaVu Sans" w:eastAsia="Times New Roman;DejaVu Sans"/>
          <w:color w:val="000000"/>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Times New Roman;DejaVu Sans" w:hAnsi="Times New Roman;DejaVu Sans" w:eastAsia="方正书宋简体;方正书宋_GBK" w:cs="Times New Roman;DejaVu Sans"/>
          <w:color w:val="000000"/>
          <w:sz w:val="22"/>
          <w:szCs w:val="22"/>
          <w:u w:val="single"/>
        </w:rPr>
      </w:pPr>
      <w:r>
        <w:rPr>
          <w:rFonts w:ascii="Times New Roman;DejaVu Sans" w:hAnsi="Times New Roman;DejaVu Sans" w:cs="Times New Roman;DejaVu Sans" w:eastAsia="Times New Roman;DejaVu Sans"/>
          <w:color w:val="000000"/>
          <w:sz w:val="22"/>
          <w:szCs w:val="22"/>
          <w:u w:val="single"/>
        </w:rPr>
        <w:t xml:space="preserve">                                           </w:t>
      </w:r>
      <w:r>
        <w:rPr>
          <w:rFonts w:ascii="Times New Roman;DejaVu Sans" w:hAnsi="Times New Roman;DejaVu Sans" w:cs="Times New Roman;DejaVu Sans" w:eastAsia="Times New Roman;DejaVu Sans"/>
          <w:color w:val="000000"/>
          <w:sz w:val="22"/>
          <w:szCs w:val="22"/>
          <w:u w:val="single"/>
          <w:lang w:val="en-US" w:eastAsia="zh-CN"/>
        </w:rPr>
        <w:t xml:space="preserve">                            </w:t>
      </w:r>
      <w:r>
        <w:rPr>
          <w:rFonts w:ascii="Times New Roman;DejaVu Sans" w:hAnsi="Times New Roman;DejaVu Sans" w:cs="Times New Roman;DejaVu Sans" w:eastAsia="Times New Roman;DejaVu Sans"/>
          <w:color w:val="000000"/>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Times New Roman;DejaVu Sans" w:hAnsi="Times New Roman;DejaVu Sans" w:eastAsia="方正书宋简体;方正书宋_GBK" w:cs="Times New Roman;DejaVu Sans"/>
          <w:color w:val="000000"/>
          <w:sz w:val="22"/>
          <w:szCs w:val="22"/>
          <w:u w:val="single"/>
        </w:rPr>
      </w:pPr>
      <w:r>
        <w:rPr>
          <w:rFonts w:ascii="Times New Roman;DejaVu Sans" w:hAnsi="Times New Roman;DejaVu Sans" w:cs="Times New Roman;DejaVu Sans" w:eastAsia="Times New Roman;DejaVu Sans"/>
          <w:color w:val="000000"/>
          <w:sz w:val="22"/>
          <w:szCs w:val="22"/>
          <w:u w:val="single"/>
        </w:rPr>
        <w:t xml:space="preserve">                                           </w:t>
      </w:r>
      <w:r>
        <w:rPr>
          <w:rFonts w:ascii="Times New Roman;DejaVu Sans" w:hAnsi="Times New Roman;DejaVu Sans" w:cs="Times New Roman;DejaVu Sans" w:eastAsia="Times New Roman;DejaVu Sans"/>
          <w:color w:val="000000"/>
          <w:sz w:val="22"/>
          <w:szCs w:val="22"/>
          <w:u w:val="single"/>
          <w:lang w:val="en-US" w:eastAsia="zh-CN"/>
        </w:rPr>
        <w:t xml:space="preserve">                           </w:t>
      </w:r>
      <w:r>
        <w:rPr>
          <w:rFonts w:ascii="Times New Roman;DejaVu Sans" w:hAnsi="Times New Roman;DejaVu Sans" w:cs="Times New Roman;DejaVu Sans" w:eastAsia="Times New Roman;DejaVu Sans"/>
          <w:color w:val="000000"/>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Times New Roman;DejaVu Sans" w:hAnsi="Times New Roman;DejaVu Sans" w:eastAsia="方正书宋简体;方正书宋_GBK" w:cs="Times New Roman;DejaVu Sans"/>
          <w:color w:val="000000"/>
          <w:sz w:val="22"/>
          <w:szCs w:val="22"/>
          <w:u w:val="single"/>
        </w:rPr>
      </w:pPr>
      <w:r>
        <w:rPr>
          <w:rFonts w:ascii="Times New Roman;DejaVu Sans" w:hAnsi="Times New Roman;DejaVu Sans" w:cs="Times New Roman;DejaVu Sans" w:eastAsia="Times New Roman;DejaVu Sans"/>
          <w:color w:val="000000"/>
          <w:sz w:val="22"/>
          <w:szCs w:val="22"/>
          <w:u w:val="single"/>
        </w:rPr>
        <w:t xml:space="preserve">                                         </w:t>
      </w:r>
      <w:r>
        <w:rPr>
          <w:rFonts w:ascii="Times New Roman;DejaVu Sans" w:hAnsi="Times New Roman;DejaVu Sans" w:cs="Times New Roman;DejaVu Sans" w:eastAsia="Times New Roman;DejaVu Sans"/>
          <w:color w:val="000000"/>
          <w:sz w:val="22"/>
          <w:szCs w:val="22"/>
          <w:u w:val="single"/>
          <w:lang w:val="en-US" w:eastAsia="zh-CN"/>
        </w:rPr>
        <w:t xml:space="preserve">                             </w:t>
      </w:r>
      <w:r>
        <w:rPr>
          <w:rFonts w:ascii="Times New Roman;DejaVu Sans" w:hAnsi="Times New Roman;DejaVu Sans" w:cs="Times New Roman;DejaVu Sans" w:eastAsia="Times New Roman;DejaVu Sans"/>
          <w:color w:val="000000"/>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Times New Roman;DejaVu Sans" w:hAnsi="Times New Roman;DejaVu Sans" w:eastAsia="方正书宋简体;方正书宋_GBK" w:cs="Times New Roman;DejaVu Sans"/>
          <w:color w:val="000000"/>
          <w:sz w:val="22"/>
          <w:szCs w:val="22"/>
          <w:u w:val="single"/>
        </w:rPr>
      </w:pPr>
      <w:r>
        <w:rPr>
          <w:rFonts w:ascii="Times New Roman;DejaVu Sans" w:hAnsi="Times New Roman;DejaVu Sans" w:cs="Times New Roman;DejaVu Sans" w:eastAsia="Times New Roman;DejaVu Sans"/>
          <w:color w:val="000000"/>
          <w:sz w:val="22"/>
          <w:szCs w:val="22"/>
          <w:u w:val="single"/>
        </w:rPr>
        <w:t xml:space="preserve">          </w:t>
      </w:r>
      <w:r>
        <w:rPr>
          <w:rFonts w:ascii="Times New Roman;DejaVu Sans" w:hAnsi="Times New Roman;DejaVu Sans" w:cs="Times New Roman;DejaVu Sans" w:eastAsia="Times New Roman;DejaVu Sans"/>
          <w:color w:val="000000"/>
          <w:sz w:val="22"/>
          <w:szCs w:val="22"/>
          <w:u w:val="single"/>
          <w:lang w:val="en-US" w:eastAsia="zh-CN"/>
        </w:rPr>
        <w:t xml:space="preserve">                          </w:t>
      </w:r>
      <w:r>
        <w:rPr>
          <w:rFonts w:ascii="Times New Roman;DejaVu Sans" w:hAnsi="Times New Roman;DejaVu Sans" w:cs="Times New Roman;DejaVu Sans" w:eastAsia="Times New Roman;DejaVu Sans"/>
          <w:color w:val="000000"/>
          <w:sz w:val="22"/>
          <w:szCs w:val="22"/>
          <w:u w:val="single"/>
        </w:rPr>
        <w:t xml:space="preserve">                                             </w:t>
      </w:r>
    </w:p>
    <w:p>
      <w:pPr>
        <w:pStyle w:val="Normal"/>
        <w:keepNext w:val="false"/>
        <w:keepLines w:val="false"/>
        <w:pageBreakBefore w:val="false"/>
        <w:kinsoku w:val="true"/>
        <w:overflowPunct w:val="true"/>
        <w:autoSpaceDE w:val="true"/>
        <w:bidi w:val="0"/>
        <w:spacing w:lineRule="exact" w:line="420"/>
        <w:ind w:firstLine="440" w:end="0"/>
        <w:textAlignment w:val="auto"/>
        <w:rPr/>
      </w:pPr>
      <w:r>
        <w:rPr>
          <w:rFonts w:ascii="方正书宋_GBK" w:hAnsi="方正书宋_GBK" w:cs="方正书宋_GBK" w:eastAsia="方正书宋_GBK"/>
          <w:color w:val="000000"/>
          <w:sz w:val="22"/>
          <w:szCs w:val="22"/>
        </w:rPr>
        <w:t>本合</w:t>
      </w:r>
      <w:r>
        <w:rPr>
          <w:rFonts w:ascii="方正书宋_GBK" w:hAnsi="方正书宋_GBK" w:cs="方正书宋_GBK" w:eastAsia="方正书宋_GBK"/>
          <w:color w:val="000000"/>
          <w:kern w:val="0"/>
          <w:sz w:val="22"/>
          <w:szCs w:val="22"/>
        </w:rPr>
        <w:t>同一式三份</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kern w:val="0"/>
          <w:sz w:val="22"/>
          <w:szCs w:val="22"/>
        </w:rPr>
        <w:t>双方各执一份</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kern w:val="0"/>
          <w:sz w:val="22"/>
          <w:szCs w:val="22"/>
        </w:rPr>
        <w:t>交工商机关备案一份。合同</w:t>
      </w:r>
      <w:hyperlink r:id="rId4" w:tgtFrame="_blank">
        <w:r>
          <w:rPr>
            <w:rStyle w:val="Hyperlink"/>
            <w:rFonts w:ascii="方正书宋_GBK" w:hAnsi="方正书宋_GBK" w:cs="方正书宋_GBK" w:eastAsia="方正书宋_GBK"/>
            <w:color w:val="000000"/>
            <w:kern w:val="0"/>
            <w:sz w:val="22"/>
            <w:szCs w:val="22"/>
          </w:rPr>
          <w:t>合同内容</w:t>
        </w:r>
      </w:hyperlink>
      <w:r>
        <w:rPr>
          <w:rFonts w:ascii="方正书宋_GBK" w:hAnsi="方正书宋_GBK" w:cs="方正书宋_GBK" w:eastAsia="方正书宋_GBK"/>
          <w:color w:val="000000"/>
          <w:kern w:val="0"/>
          <w:sz w:val="22"/>
          <w:szCs w:val="22"/>
        </w:rPr>
        <w:t>内容如有变更，应当采用书面形式作为本合同的附件；附件与本合同具有同等法律效力。</w:t>
      </w:r>
    </w:p>
    <w:tbl>
      <w:tblPr>
        <w:tblW w:w="8798" w:type="dxa"/>
        <w:jc w:val="center"/>
        <w:tblInd w:w="0" w:type="dxa"/>
        <w:tblLayout w:type="fixed"/>
        <w:tblCellMar>
          <w:top w:w="0" w:type="dxa"/>
          <w:start w:w="108" w:type="dxa"/>
          <w:bottom w:w="0" w:type="dxa"/>
          <w:end w:w="108" w:type="dxa"/>
        </w:tblCellMar>
      </w:tblPr>
      <w:tblGrid>
        <w:gridCol w:w="2953"/>
        <w:gridCol w:w="3060"/>
        <w:gridCol w:w="2785"/>
      </w:tblGrid>
      <w:tr>
        <w:trPr/>
        <w:tc>
          <w:tcPr>
            <w:tcW w:w="295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甲方（盖章）：</w:t>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负责人：</w:t>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住所：</w:t>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联系电话：</w:t>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0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乙方（签字或盖章）：</w:t>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居民身份证号码：</w:t>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keepNext w:val="false"/>
              <w:keepLines w:val="false"/>
              <w:kinsoku w:val="true"/>
              <w:overflowPunct w:val="true"/>
              <w:autoSpaceDE w:val="true"/>
              <w:bidi w:val="0"/>
              <w:spacing w:lineRule="exact" w:line="420"/>
              <w:ind w:hanging="540" w:start="960" w:end="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住所：</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县（市）</w:t>
            </w:r>
          </w:p>
          <w:p>
            <w:pPr>
              <w:pStyle w:val="Normal"/>
              <w:keepNext w:val="false"/>
              <w:keepLines w:val="false"/>
              <w:kinsoku w:val="true"/>
              <w:overflowPunct w:val="true"/>
              <w:autoSpaceDE w:val="true"/>
              <w:bidi w:val="0"/>
              <w:spacing w:lineRule="exact" w:line="420"/>
              <w:ind w:hanging="540" w:start="960" w:end="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乡（镇）</w:t>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村</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组</w:t>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联系电话：</w:t>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78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备案机关（盖章）：</w:t>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经办人：</w:t>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 xml:space="preserve">  </w:t>
            </w:r>
          </w:p>
          <w:p>
            <w:pPr>
              <w:pStyle w:val="Normal"/>
              <w:keepNext w:val="false"/>
              <w:keepLines w:val="false"/>
              <w:kinsoku w:val="true"/>
              <w:overflowPunct w:val="true"/>
              <w:autoSpaceDE w:val="true"/>
              <w:bidi w:val="0"/>
              <w:spacing w:lineRule="exact" w:line="420"/>
              <w:ind w:firstLine="180" w:end="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 xml:space="preserve"> </w:t>
            </w:r>
            <w:r>
              <w:rPr>
                <w:rFonts w:ascii="方正书宋_GBK" w:hAnsi="方正书宋_GBK" w:cs="方正书宋_GBK" w:eastAsia="方正书宋_GBK"/>
                <w:color w:val="000000"/>
                <w:sz w:val="18"/>
                <w:szCs w:val="18"/>
              </w:rPr>
              <w:t>年   月   日</w:t>
            </w:r>
          </w:p>
        </w:tc>
      </w:tr>
    </w:tbl>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sectPr>
      <w:footerReference w:type="default" r:id="rId5"/>
      <w:type w:val="nextPage"/>
      <w:pgSz w:w="11906" w:h="16838"/>
      <w:pgMar w:left="1327" w:right="1466" w:gutter="113" w:header="0" w:top="1402" w:footer="1417" w:bottom="1558"/>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DejaVu Sans"/>
    <w:charset w:val="00" w:characterSet="windows-1252"/>
    <w:family w:val="roman"/>
    <w:pitch w:val="default"/>
  </w:font>
  <w:font w:name="Calibri Light">
    <w:altName w:val="DejaVu Sans"/>
    <w:charset w:val="00" w:characterSet="windows-1252"/>
    <w:family w:val="swiss"/>
    <w:pitch w:val="default"/>
  </w:font>
  <w:font w:name="仿宋_GB2312">
    <w:altName w:val="方正仿宋_GBK"/>
    <w:charset w:val="00" w:characterSet="windows-1252"/>
    <w:family w:val="modern"/>
    <w:pitch w:val="default"/>
  </w:font>
  <w:font w:name="Liberation Sans">
    <w:altName w:val="Arial"/>
    <w:charset w:val="01" w:characterSet="utf-8"/>
    <w:family w:val="swiss"/>
    <w:pitch w:val="variable"/>
  </w:font>
  <w:font w:name="公文小标宋简">
    <w:altName w:val="方正小标宋_GBK"/>
    <w:charset w:val="00" w:characterSet="windows-1252"/>
    <w:family w:val="modern"/>
    <w:pitch w:val="default"/>
  </w:font>
  <w:font w:name="方正小标宋_GBK">
    <w:charset w:val="86"/>
    <w:family w:val="auto"/>
    <w:pitch w:val="default"/>
  </w:font>
  <w:font w:name="方正书宋_GBK">
    <w:charset w:val="86"/>
    <w:family w:val="auto"/>
    <w:pitch w:val="default"/>
  </w:font>
  <w:font w:name="方正黑体_GBK">
    <w:charset w:val="86"/>
    <w:family w:val="auto"/>
    <w:pitch w:val="default"/>
  </w:font>
  <w:font w:name="宋体">
    <w:altName w:val="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0" simplePos="0" locked="0" layoutInCell="0" allowOverlap="1" relativeHeight="8">
              <wp:simplePos x="0" y="0"/>
              <wp:positionH relativeFrom="margin">
                <wp:align>right</wp:align>
              </wp:positionH>
              <wp:positionV relativeFrom="paragraph">
                <wp:posOffset>635</wp:posOffset>
              </wp:positionV>
              <wp:extent cx="474980" cy="205740"/>
              <wp:effectExtent l="0" t="0" r="0" b="0"/>
              <wp:wrapNone/>
              <wp:docPr id="1" name="Frame1"/>
              <a:graphic xmlns:a="http://schemas.openxmlformats.org/drawingml/2006/main">
                <a:graphicData uri="http://schemas.microsoft.com/office/word/2010/wordprocessingShape">
                  <wps:wsp>
                    <wps:cNvSpPr txBox="1"/>
                    <wps:spPr>
                      <a:xfrm>
                        <a:off x="0" y="0"/>
                        <a:ext cx="474980" cy="205740"/>
                      </a:xfrm>
                      <a:prstGeom prst="rect"/>
                      <a:solidFill>
                        <a:srgbClr val="FFFFFF">
                          <a:alpha val="0"/>
                        </a:srgbClr>
                      </a:solidFill>
                    </wps:spPr>
                    <wps:txbx>
                      <w:txbxContent>
                        <w:p>
                          <w:pPr>
                            <w:pStyle w:val="Footer"/>
                            <w:rPr/>
                          </w:pPr>
                          <w:r>
                            <w:rPr>
                              <w:rFonts w:ascii="宋体;方正书宋_GBK" w:hAnsi="宋体;方正书宋_GBK" w:cs="宋体;方正书宋_GBK" w:eastAsia="宋体;方正书宋_GBK"/>
                              <w:sz w:val="24"/>
                              <w:szCs w:val="24"/>
                              <w:lang w:eastAsia="zh-CN"/>
                            </w:rPr>
                            <w:t>—</w:t>
                          </w:r>
                          <w:r>
                            <w:rPr>
                              <w:rFonts w:ascii="宋体;方正书宋_GBK" w:hAnsi="宋体;方正书宋_GBK" w:cs="宋体;方正书宋_GBK" w:eastAsia="宋体;方正书宋_GBK"/>
                              <w:sz w:val="24"/>
                              <w:szCs w:val="24"/>
                              <w:lang w:val="en-US" w:eastAsia="zh-CN"/>
                            </w:rPr>
                            <w:t xml:space="preserve"> </w:t>
                          </w:r>
                          <w:r>
                            <w:rPr>
                              <w:rFonts w:ascii="宋体;方正书宋_GBK" w:hAnsi="宋体;方正书宋_GBK" w:cs="宋体;方正书宋_GBK" w:eastAsia="宋体;方正书宋_GBK"/>
                              <w:sz w:val="24"/>
                              <w:szCs w:val="24"/>
                              <w:lang w:eastAsia="zh-CN"/>
                            </w:rPr>
                            <w:fldChar w:fldCharType="begin"/>
                          </w:r>
                          <w:r>
                            <w:rPr>
                              <w:sz w:val="24"/>
                              <w:szCs w:val="24"/>
                              <w:rFonts w:ascii="宋体;方正书宋_GBK" w:hAnsi="宋体;方正书宋_GBK" w:cs="宋体;方正书宋_GBK" w:eastAsia="宋体;方正书宋_GBK"/>
                              <w:lang w:eastAsia="zh-CN"/>
                            </w:rPr>
                            <w:instrText xml:space="preserve"> PAGE </w:instrText>
                          </w:r>
                          <w:r>
                            <w:rPr>
                              <w:sz w:val="24"/>
                              <w:szCs w:val="24"/>
                              <w:rFonts w:ascii="宋体;方正书宋_GBK" w:hAnsi="宋体;方正书宋_GBK" w:cs="宋体;方正书宋_GBK" w:eastAsia="宋体;方正书宋_GBK"/>
                              <w:lang w:eastAsia="zh-CN"/>
                            </w:rPr>
                            <w:fldChar w:fldCharType="separate"/>
                          </w:r>
                          <w:r>
                            <w:rPr>
                              <w:sz w:val="24"/>
                              <w:szCs w:val="24"/>
                              <w:rFonts w:ascii="宋体;方正书宋_GBK" w:hAnsi="宋体;方正书宋_GBK" w:cs="宋体;方正书宋_GBK" w:eastAsia="宋体;方正书宋_GBK"/>
                              <w:lang w:eastAsia="zh-CN"/>
                            </w:rPr>
                            <w:t>7</w:t>
                          </w:r>
                          <w:r>
                            <w:rPr>
                              <w:sz w:val="24"/>
                              <w:szCs w:val="24"/>
                              <w:rFonts w:ascii="宋体;方正书宋_GBK" w:hAnsi="宋体;方正书宋_GBK" w:cs="宋体;方正书宋_GBK" w:eastAsia="宋体;方正书宋_GBK"/>
                              <w:lang w:eastAsia="zh-CN"/>
                            </w:rPr>
                            <w:fldChar w:fldCharType="end"/>
                          </w:r>
                          <w:r>
                            <w:rPr>
                              <w:rFonts w:ascii="宋体;方正书宋_GBK" w:hAnsi="宋体;方正书宋_GBK" w:cs="宋体;方正书宋_GBK" w:eastAsia="宋体;方正书宋_GBK"/>
                              <w:sz w:val="24"/>
                              <w:szCs w:val="24"/>
                              <w:lang w:val="en-US" w:eastAsia="zh-CN"/>
                            </w:rPr>
                            <w:t xml:space="preserve"> </w:t>
                          </w:r>
                          <w:r>
                            <w:rPr>
                              <w:rFonts w:ascii="宋体;方正书宋_GBK" w:hAnsi="宋体;方正书宋_GBK" w:cs="宋体;方正书宋_GBK" w:eastAsia="宋体;方正书宋_GBK"/>
                              <w:sz w:val="24"/>
                              <w:szCs w:val="24"/>
                              <w:lang w:eastAsia="zh-CN"/>
                            </w:rPr>
                            <w:t>—</w:t>
                          </w:r>
                        </w:p>
                      </w:txbxContent>
                    </wps:txbx>
                    <wps:bodyPr anchor="t" lIns="635" tIns="635" rIns="635" bIns="635">
                      <a:spAutoFit/>
                    </wps:bodyPr>
                  </wps:wsp>
                </a:graphicData>
              </a:graphic>
            </wp:anchor>
          </w:drawing>
        </mc:Choice>
        <mc:Fallback>
          <w:pict>
            <v:rect fillcolor="#FFFFFF" style="position:absolute;rotation:-0;width:37.4pt;height:16.2pt;mso-wrap-distance-left:9.05pt;mso-wrap-distance-right:0pt;mso-wrap-distance-top:0pt;mso-wrap-distance-bottom:0pt;margin-top:0pt;mso-position-vertical-relative:text;margin-left:412.6pt;mso-position-horizontal:outside;mso-position-horizontal-relative:margin">
              <v:fill opacity="0f"/>
              <v:textbox inset="0.000694444444444445in,0.000694444444444445in,0.000694444444444445in,0.000694444444444445in">
                <w:txbxContent>
                  <w:p>
                    <w:pPr>
                      <w:pStyle w:val="Footer"/>
                      <w:rPr/>
                    </w:pPr>
                    <w:r>
                      <w:rPr>
                        <w:rFonts w:ascii="宋体;方正书宋_GBK" w:hAnsi="宋体;方正书宋_GBK" w:cs="宋体;方正书宋_GBK" w:eastAsia="宋体;方正书宋_GBK"/>
                        <w:sz w:val="24"/>
                        <w:szCs w:val="24"/>
                        <w:lang w:eastAsia="zh-CN"/>
                      </w:rPr>
                      <w:t>—</w:t>
                    </w:r>
                    <w:r>
                      <w:rPr>
                        <w:rFonts w:ascii="宋体;方正书宋_GBK" w:hAnsi="宋体;方正书宋_GBK" w:cs="宋体;方正书宋_GBK" w:eastAsia="宋体;方正书宋_GBK"/>
                        <w:sz w:val="24"/>
                        <w:szCs w:val="24"/>
                        <w:lang w:val="en-US" w:eastAsia="zh-CN"/>
                      </w:rPr>
                      <w:t xml:space="preserve"> </w:t>
                    </w:r>
                    <w:r>
                      <w:rPr>
                        <w:rFonts w:ascii="宋体;方正书宋_GBK" w:hAnsi="宋体;方正书宋_GBK" w:cs="宋体;方正书宋_GBK" w:eastAsia="宋体;方正书宋_GBK"/>
                        <w:sz w:val="24"/>
                        <w:szCs w:val="24"/>
                        <w:lang w:eastAsia="zh-CN"/>
                      </w:rPr>
                      <w:fldChar w:fldCharType="begin"/>
                    </w:r>
                    <w:r>
                      <w:rPr>
                        <w:sz w:val="24"/>
                        <w:szCs w:val="24"/>
                        <w:rFonts w:ascii="宋体;方正书宋_GBK" w:hAnsi="宋体;方正书宋_GBK" w:cs="宋体;方正书宋_GBK" w:eastAsia="宋体;方正书宋_GBK"/>
                        <w:lang w:eastAsia="zh-CN"/>
                      </w:rPr>
                      <w:instrText xml:space="preserve"> PAGE </w:instrText>
                    </w:r>
                    <w:r>
                      <w:rPr>
                        <w:sz w:val="24"/>
                        <w:szCs w:val="24"/>
                        <w:rFonts w:ascii="宋体;方正书宋_GBK" w:hAnsi="宋体;方正书宋_GBK" w:cs="宋体;方正书宋_GBK" w:eastAsia="宋体;方正书宋_GBK"/>
                        <w:lang w:eastAsia="zh-CN"/>
                      </w:rPr>
                      <w:fldChar w:fldCharType="separate"/>
                    </w:r>
                    <w:r>
                      <w:rPr>
                        <w:sz w:val="24"/>
                        <w:szCs w:val="24"/>
                        <w:rFonts w:ascii="宋体;方正书宋_GBK" w:hAnsi="宋体;方正书宋_GBK" w:cs="宋体;方正书宋_GBK" w:eastAsia="宋体;方正书宋_GBK"/>
                        <w:lang w:eastAsia="zh-CN"/>
                      </w:rPr>
                      <w:t>7</w:t>
                    </w:r>
                    <w:r>
                      <w:rPr>
                        <w:sz w:val="24"/>
                        <w:szCs w:val="24"/>
                        <w:rFonts w:ascii="宋体;方正书宋_GBK" w:hAnsi="宋体;方正书宋_GBK" w:cs="宋体;方正书宋_GBK" w:eastAsia="宋体;方正书宋_GBK"/>
                        <w:lang w:eastAsia="zh-CN"/>
                      </w:rPr>
                      <w:fldChar w:fldCharType="end"/>
                    </w:r>
                    <w:r>
                      <w:rPr>
                        <w:rFonts w:ascii="宋体;方正书宋_GBK" w:hAnsi="宋体;方正书宋_GBK" w:cs="宋体;方正书宋_GBK" w:eastAsia="宋体;方正书宋_GBK"/>
                        <w:sz w:val="24"/>
                        <w:szCs w:val="24"/>
                        <w:lang w:val="en-US" w:eastAsia="zh-CN"/>
                      </w:rPr>
                      <w:t xml:space="preserve"> </w:t>
                    </w:r>
                    <w:r>
                      <w:rPr>
                        <w:rFonts w:ascii="宋体;方正书宋_GBK" w:hAnsi="宋体;方正书宋_GBK" w:cs="宋体;方正书宋_GBK" w:eastAsia="宋体;方正书宋_GBK"/>
                        <w:sz w:val="24"/>
                        <w:szCs w:val="24"/>
                        <w:lang w:eastAsia="zh-CN"/>
                      </w:rPr>
                      <w:t>—</w:t>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DejaVu Sans" w:hAnsi="Times New Roman;DejaVu Sans" w:eastAsia="宋体;方正书宋_GBK" w:cs="Times New Roman;DejaVu Sans"/>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exact" w:line="560"/>
      <w:jc w:val="center"/>
      <w:outlineLvl w:val="0"/>
    </w:pPr>
    <w:rPr>
      <w:rFonts w:ascii="Times New Roman;DejaVu Sans" w:hAnsi="Times New Roman;DejaVu Sans" w:eastAsia="方正小标宋简体" w:cs="Times New Roman;DejaVu Sans"/>
      <w:kern w:val="2"/>
      <w:sz w:val="40"/>
    </w:rPr>
  </w:style>
  <w:style w:type="paragraph" w:styleId="Heading2">
    <w:name w:val="heading 2"/>
    <w:basedOn w:val="Normal"/>
    <w:next w:val="Normal"/>
    <w:qFormat/>
    <w:pPr>
      <w:keepNext w:val="true"/>
      <w:keepLines/>
      <w:numPr>
        <w:ilvl w:val="1"/>
        <w:numId w:val="1"/>
      </w:numPr>
      <w:spacing w:lineRule="exact" w:line="420"/>
      <w:ind w:firstLine="640" w:start="0" w:end="0"/>
      <w:jc w:val="start"/>
      <w:outlineLvl w:val="1"/>
    </w:pPr>
    <w:rPr>
      <w:rFonts w:ascii="Calibri Light;DejaVu Sans" w:hAnsi="Calibri Light;DejaVu Sans" w:eastAsia="方正黑体_GBK" w:cs="Calibri Light;DejaVu Sans"/>
      <w:bCs/>
      <w:sz w:val="22"/>
      <w:szCs w:val="32"/>
      <w:lang w:eastAsia="en-US"/>
    </w:rPr>
  </w:style>
  <w:style w:type="paragraph" w:styleId="Heading3">
    <w:name w:val="heading 3"/>
    <w:basedOn w:val="Normal"/>
    <w:next w:val="Normal"/>
    <w:qFormat/>
    <w:pPr>
      <w:keepNext w:val="true"/>
      <w:keepLines/>
      <w:numPr>
        <w:ilvl w:val="2"/>
        <w:numId w:val="1"/>
      </w:numPr>
      <w:spacing w:lineRule="exact" w:line="560"/>
      <w:jc w:val="center"/>
      <w:outlineLvl w:val="2"/>
    </w:pPr>
    <w:rPr>
      <w:rFonts w:ascii="Times New Roman;DejaVu Sans" w:hAnsi="Times New Roman;DejaVu Sans" w:eastAsia="方正楷体_GBK" w:cs="Times New Roman;DejaVu Sans"/>
      <w:b w:val="false"/>
      <w:sz w:val="28"/>
    </w:rPr>
  </w:style>
  <w:style w:type="character" w:styleId="Style11">
    <w:name w:val="默认段落字体"/>
    <w:qFormat/>
    <w:rPr>
      <w:rFonts w:ascii="仿宋_GB2312;方正仿宋_GBK" w:hAnsi="仿宋_GB2312;方正仿宋_GBK" w:eastAsia="仿宋_GB2312;方正仿宋_GBK"/>
      <w:b/>
      <w:sz w:val="32"/>
      <w:szCs w:val="32"/>
    </w:rPr>
  </w:style>
  <w:style w:type="character" w:styleId="1Char">
    <w:name w:val="标题 1 Char"/>
    <w:qFormat/>
    <w:rPr>
      <w:rFonts w:ascii="Times New Roman;DejaVu Sans" w:hAnsi="Times New Roman;DejaVu Sans" w:eastAsia="方正小标宋简体" w:cs="Times New Roman;DejaVu Sans"/>
      <w:kern w:val="2"/>
      <w:sz w:val="40"/>
    </w:rPr>
  </w:style>
  <w:style w:type="character" w:styleId="2Char1">
    <w:name w:val="标题 2 Char1"/>
    <w:qFormat/>
    <w:rPr>
      <w:rFonts w:ascii="Calibri Light;DejaVu Sans" w:hAnsi="Calibri Light;DejaVu Sans" w:eastAsia="方正黑体_GBK" w:cs="Calibri Light;DejaVu Sans"/>
      <w:b w:val="false"/>
      <w:bCs/>
      <w:sz w:val="22"/>
      <w:szCs w:val="32"/>
      <w:lang w:eastAsia="en-US"/>
    </w:rPr>
  </w:style>
  <w:style w:type="character" w:styleId="PageNumber">
    <w:name w:val="page number"/>
    <w:basedOn w:val="Style11"/>
    <w:rPr/>
  </w:style>
  <w:style w:type="character" w:styleId="Hyperlink">
    <w:name w:val="Hyperlink"/>
    <w:basedOn w:val="Style11"/>
    <w:rPr>
      <w:color w:val="0000FF"/>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2">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rFonts w:eastAsia="仿宋_GB2312;方正仿宋_GBK"/>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har">
    <w:name w:val="Char"/>
    <w:basedOn w:val="Normal"/>
    <w:qFormat/>
    <w:pPr/>
    <w:rPr>
      <w:rFonts w:ascii="仿宋_GB2312;方正仿宋_GBK" w:hAnsi="仿宋_GB2312;方正仿宋_GBK" w:eastAsia="仿宋_GB2312;方正仿宋_GBK"/>
      <w:b/>
      <w:sz w:val="32"/>
      <w:szCs w:val="3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gs.gov.cn/" TargetMode="External"/><Relationship Id="rId3" Type="http://schemas.openxmlformats.org/officeDocument/2006/relationships/hyperlink" Target="http://www.xycjh.cn/" TargetMode="External"/><Relationship Id="rId4" Type="http://schemas.openxmlformats.org/officeDocument/2006/relationships/hyperlink" Target="http://www.lawtime.cn/info/hetong/hetongneirong/"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20640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2013-01-09T16:09:00Z</dcterms:created>
  <dc:creator>陶善勇</dc:creator>
  <dc:description/>
  <dc:language>zh-CN</dc:language>
  <cp:lastModifiedBy>ruijie</cp:lastModifiedBy>
  <cp:lastPrinted>2013-01-09T12:38:00Z</cp:lastPrinted>
  <dcterms:modified xsi:type="dcterms:W3CDTF">2022-02-22T19:28:54Z</dcterms:modified>
  <cp:revision>161</cp:revision>
  <dc:subject/>
  <dc:title>湖北省工商行政管理局文件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2052-11.8.2.9695</vt:lpwstr>
  </property>
</Properties>
</file>