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bCs/>
          <w:sz w:val="28"/>
          <w:szCs w:val="28"/>
        </w:rPr>
        <w:t>MF—2009—002</w:t>
      </w:r>
    </w:p>
    <w:p>
      <w:pPr>
        <w:pStyle w:val="Normal"/>
        <w:ind w:firstLine="1966" w:end="0"/>
        <w:rPr>
          <w:rFonts w:eastAsia="仿宋_GB2312"/>
          <w:b/>
          <w:sz w:val="44"/>
          <w:szCs w:val="44"/>
        </w:rPr>
      </w:pPr>
      <w:r>
        <w:rPr>
          <w:rFonts w:eastAsia="仿宋_GB2312"/>
          <w:b/>
          <w:sz w:val="44"/>
          <w:szCs w:val="44"/>
        </w:rPr>
      </w:r>
    </w:p>
    <w:p>
      <w:pPr>
        <w:pStyle w:val="Normal"/>
        <w:jc w:val="center"/>
        <w:rPr>
          <w:rFonts w:ascii="方正小标宋_GBK" w:hAnsi="方正小标宋_GBK" w:eastAsia="方正小标宋_GBK"/>
          <w:sz w:val="40"/>
          <w:szCs w:val="40"/>
        </w:rPr>
      </w:pPr>
      <w:r>
        <w:rPr>
          <w:rFonts w:ascii="方正小标宋_GBK" w:hAnsi="方正小标宋_GBK" w:eastAsia="方正小标宋_GBK"/>
          <w:sz w:val="40"/>
          <w:szCs w:val="40"/>
        </w:rPr>
        <w:t>福建省茶叶买卖合同</w:t>
      </w:r>
    </w:p>
    <w:p>
      <w:pPr>
        <w:pStyle w:val="Normal"/>
        <w:jc w:val="center"/>
        <w:rPr/>
      </w:pPr>
      <w:r>
        <w:rPr>
          <w:rFonts w:eastAsia="方正楷体_GBK" w:ascii="方正楷体_GBK" w:hAnsi="方正楷体_GBK"/>
          <w:sz w:val="28"/>
          <w:szCs w:val="28"/>
        </w:rPr>
        <w:t>(</w:t>
      </w:r>
      <w:r>
        <w:rPr>
          <w:rFonts w:ascii="方正楷体_GBK" w:hAnsi="方正楷体_GBK" w:eastAsia="方正楷体_GBK"/>
          <w:bCs/>
          <w:sz w:val="28"/>
          <w:szCs w:val="28"/>
        </w:rPr>
        <w:t>示范文本</w:t>
      </w:r>
      <w:r>
        <w:rPr>
          <w:rFonts w:eastAsia="方正楷体_GBK" w:ascii="方正楷体_GBK" w:hAnsi="方正楷体_GBK"/>
          <w:bCs/>
          <w:sz w:val="28"/>
          <w:szCs w:val="28"/>
        </w:rPr>
        <w:t>)</w:t>
      </w:r>
    </w:p>
    <w:p>
      <w:pPr>
        <w:pStyle w:val="Normal"/>
        <w:spacing w:lineRule="exact" w:line="420"/>
        <w:ind w:firstLine="4180" w:end="0"/>
        <w:rPr>
          <w:rFonts w:ascii="方正书宋_GBK" w:hAnsi="方正书宋_GBK" w:eastAsia="方正书宋_GBK"/>
          <w:bCs/>
          <w:sz w:val="22"/>
          <w:szCs w:val="22"/>
        </w:rPr>
      </w:pPr>
      <w:r>
        <w:rPr>
          <w:rFonts w:eastAsia="方正书宋_GBK" w:ascii="方正书宋_GBK" w:hAnsi="方正书宋_GBK"/>
          <w:bCs/>
          <w:sz w:val="22"/>
          <w:szCs w:val="22"/>
        </w:rPr>
      </w:r>
    </w:p>
    <w:p>
      <w:pPr>
        <w:pStyle w:val="Normal"/>
        <w:spacing w:lineRule="exact" w:line="420"/>
        <w:ind w:firstLine="5940" w:end="0"/>
        <w:rPr/>
      </w:pPr>
      <w:r>
        <w:rPr>
          <w:rFonts w:ascii="方正书宋_GBK" w:hAnsi="方正书宋_GBK" w:eastAsia="方正书宋_GBK"/>
          <w:sz w:val="22"/>
          <w:szCs w:val="22"/>
        </w:rPr>
        <w:t>合同编号：</w:t>
      </w:r>
      <w:r>
        <w:rPr>
          <w:rFonts w:ascii="方正书宋_GBK" w:hAnsi="方正书宋_GBK" w:eastAsia="方正书宋_GBK"/>
          <w:sz w:val="22"/>
          <w:szCs w:val="22"/>
          <w:u w:val="single"/>
        </w:rPr>
        <w:t>{合同编号}</w:t>
      </w:r>
    </w:p>
    <w:p>
      <w:pPr>
        <w:pStyle w:val="Normal"/>
        <w:spacing w:lineRule="exact" w:line="420"/>
        <w:ind w:firstLine="59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签订地点</w:t>
      </w:r>
      <w:r>
        <w:rPr>
          <w:rFonts w:eastAsia="方正书宋_GBK" w:ascii="方正书宋_GBK" w:hAnsi="方正书宋_GBK"/>
          <w:sz w:val="22"/>
          <w:szCs w:val="22"/>
        </w:rPr>
        <w:t xml:space="preserve">: </w:t>
      </w:r>
      <w:r>
        <w:rPr>
          <w:rFonts w:eastAsia="方正书宋_GBK" w:ascii="方正书宋_GBK" w:hAnsi="方正书宋_GBK"/>
          <w:sz w:val="22"/>
          <w:szCs w:val="22"/>
          <w:u w:val="single"/>
        </w:rPr>
        <w:t>{签订地点}</w:t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{甲方（出卖人）}：</w:t>
      </w:r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</w:t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{乙方（买受人）}：</w:t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根据《中华人民共和国合同法》及有关法律法规的规定，经甲乙双方充分协商，订立本合同。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b/>
          <w:bCs/>
          <w:sz w:val="22"/>
          <w:szCs w:val="22"/>
        </w:rPr>
      </w:pPr>
      <w:r>
        <w:rPr>
          <w:rFonts w:ascii="方正书宋_GBK" w:hAnsi="方正书宋_GBK" w:eastAsia="方正书宋_GBK"/>
          <w:b/>
          <w:bCs/>
          <w:sz w:val="22"/>
          <w:szCs w:val="22"/>
        </w:rPr>
        <w:t>第一条 {品种}、{数量}、{价格}及交（提）货时间</w:t>
      </w:r>
    </w:p>
    <w:tbl>
      <w:tblPr>
        <w:tblW w:w="858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73"/>
        <w:gridCol w:w="849"/>
        <w:gridCol w:w="906"/>
        <w:gridCol w:w="906"/>
        <w:gridCol w:w="906"/>
        <w:gridCol w:w="906"/>
        <w:gridCol w:w="906"/>
        <w:gridCol w:w="2129"/>
      </w:tblGrid>
      <w:tr>
        <w:trPr>
          <w:trHeight w:val="608" w:hRule="atLeast"/>
        </w:trPr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品种</w:t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产地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等级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单位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价格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合计</w:t>
            </w:r>
          </w:p>
        </w:tc>
        <w:tc>
          <w:tcPr>
            <w:tcW w:w="2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ind w:firstLine="180" w:end="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交（提）货时间</w:t>
            </w:r>
          </w:p>
        </w:tc>
      </w:tr>
      <w:tr>
        <w:trPr>
          <w:trHeight w:val="1227" w:hRule="atLeast"/>
        </w:trPr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 </w:t>
            </w:r>
            <w:r>
              <w:rPr>
                <w:rFonts w:ascii="方正书宋_GBK" w:hAnsi="方正书宋_GBK" w:eastAsia="方正书宋_GBK"/>
                <w:sz w:val="18"/>
                <w:szCs w:val="18"/>
              </w:rPr>
              <w:t>年  月  日</w:t>
            </w:r>
          </w:p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至   年  月  日</w:t>
            </w:r>
          </w:p>
        </w:tc>
      </w:tr>
      <w:tr>
        <w:trPr>
          <w:trHeight w:val="1229" w:hRule="atLeast"/>
        </w:trPr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 </w:t>
            </w:r>
            <w:r>
              <w:rPr>
                <w:rFonts w:ascii="方正书宋_GBK" w:hAnsi="方正书宋_GBK" w:eastAsia="方正书宋_GBK"/>
                <w:sz w:val="18"/>
                <w:szCs w:val="18"/>
              </w:rPr>
              <w:t>年  月  日</w:t>
            </w:r>
          </w:p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至   年 月  日</w:t>
            </w:r>
          </w:p>
        </w:tc>
      </w:tr>
      <w:tr>
        <w:trPr>
          <w:trHeight w:val="1090" w:hRule="atLeast"/>
        </w:trPr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 </w:t>
            </w:r>
            <w:r>
              <w:rPr>
                <w:rFonts w:ascii="方正书宋_GBK" w:hAnsi="方正书宋_GBK" w:eastAsia="方正书宋_GBK"/>
                <w:sz w:val="18"/>
                <w:szCs w:val="18"/>
              </w:rPr>
              <w:t>年  月  日</w:t>
            </w:r>
          </w:p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至   年  月  日</w:t>
            </w:r>
          </w:p>
        </w:tc>
      </w:tr>
      <w:tr>
        <w:trPr>
          <w:trHeight w:val="142" w:hRule="atLeast"/>
        </w:trPr>
        <w:tc>
          <w:tcPr>
            <w:tcW w:w="8581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合计人民币金额（大写）：                      （￥        元）</w:t>
            </w:r>
          </w:p>
        </w:tc>
      </w:tr>
    </w:tbl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买卖双方的任何一方如需提前或延期交（提）货，均应事先通知对方，达成协议后按协议执行。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bCs/>
          <w:sz w:val="22"/>
          <w:szCs w:val="22"/>
        </w:rPr>
        <w:t>第二条</w:t>
      </w:r>
      <w:r>
        <w:rPr>
          <w:rFonts w:ascii="方正书宋_GBK" w:hAnsi="方正书宋_GBK" w:eastAsia="方正书宋_GBK"/>
          <w:b/>
          <w:bCs/>
          <w:sz w:val="22"/>
          <w:szCs w:val="22"/>
        </w:rPr>
        <w:t xml:space="preserve"> {</w:t>
      </w:r>
      <w:r>
        <w:rPr>
          <w:rFonts w:ascii="方正书宋_GBK" w:hAnsi="方正书宋_GBK" w:eastAsia="方正书宋_GBK"/>
          <w:bCs/>
          <w:sz w:val="22"/>
          <w:szCs w:val="22"/>
        </w:rPr>
        <w:t>质量要求}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、内在质量：</w:t>
      </w:r>
      <w:r>
        <w:rPr>
          <w:rFonts w:ascii="方正书宋_GBK" w:hAnsi="方正书宋_GBK" w:eastAsia="方正书宋_GBK"/>
          <w:sz w:val="22"/>
          <w:szCs w:val="22"/>
          <w:u w:val="single"/>
        </w:rPr>
        <w:t>{内在质量描述}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、外观质量：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{外观描述}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{待填写的空白部分}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、其他要求：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{其他要求}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{空白}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b/>
          <w:bCs/>
          <w:sz w:val="22"/>
          <w:szCs w:val="22"/>
        </w:rPr>
      </w:pPr>
      <w:r>
        <w:rPr>
          <w:rFonts w:ascii="方正黑体_GBK" w:hAnsi="方正黑体_GBK" w:eastAsia="方正黑体_GBK"/>
          <w:bCs/>
          <w:sz w:val="22"/>
          <w:szCs w:val="22"/>
        </w:rPr>
        <w:t>第三条</w:t>
      </w:r>
      <w:r>
        <w:rPr>
          <w:rFonts w:ascii="方正书宋_GBK" w:hAnsi="方正书宋_GBK" w:eastAsia="方正书宋_GBK"/>
          <w:b/>
          <w:bCs/>
          <w:sz w:val="22"/>
          <w:szCs w:val="22"/>
        </w:rPr>
        <w:t xml:space="preserve">  </w:t>
      </w:r>
      <w:r>
        <w:rPr>
          <w:rFonts w:ascii="方正书宋_GBK" w:hAnsi="方正书宋_GBK" w:eastAsia="方正书宋_GBK"/>
          <w:bCs/>
          <w:sz w:val="22"/>
          <w:szCs w:val="22"/>
        </w:rPr>
        <w:t>交（提）货地点、方式、{验收方式}及货款结算办法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、交（提）货方式按下列第（{选项}）项办理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⑴</w:t>
      </w:r>
      <w:r>
        <w:rPr>
          <w:rFonts w:ascii="方正书宋_GBK" w:hAnsi="方正书宋_GBK" w:eastAsia="方正书宋_GBK"/>
          <w:sz w:val="22"/>
          <w:szCs w:val="22"/>
        </w:rPr>
        <w:t>实行送货的，甲方应按合同约定的交货期限送往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{交货地点}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（接收地点）。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⑵</w:t>
      </w:r>
      <w:r>
        <w:rPr>
          <w:rFonts w:ascii="方正书宋_GBK" w:hAnsi="方正书宋_GBK" w:eastAsia="方正书宋_GBK"/>
          <w:sz w:val="22"/>
          <w:szCs w:val="22"/>
        </w:rPr>
        <w:t>实行提货的，甲方应按合同约定的交货期限通知乙方在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{提货地点}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{指定地点}提货。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、验收地点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{验收地点}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/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、验收办法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{验收办法}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eastAsia="方正书宋_GBK"/>
          <w:sz w:val="22"/>
          <w:szCs w:val="22"/>
        </w:rPr>
        <w:t>、货款结算办法：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{货款结算办法}</w:t>
      </w:r>
    </w:p>
    <w:p>
      <w:pPr>
        <w:pStyle w:val="Normal"/>
        <w:spacing w:lineRule="exact" w:line="420"/>
        <w:ind w:firstLine="330" w:end="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请提供需要修改的文本内容。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bCs/>
          <w:sz w:val="22"/>
          <w:szCs w:val="22"/>
        </w:rPr>
        <w:t>第四条 担</w:t>
      </w:r>
      <w:r>
        <w:rPr>
          <w:rFonts w:ascii="方正书宋_GBK" w:hAnsi="方正书宋_GBK" w:eastAsia="方正书宋_GBK"/>
          <w:sz w:val="22"/>
          <w:szCs w:val="22"/>
        </w:rPr>
        <w:t>保方式 {担保方式具体内容}</w:t>
      </w:r>
    </w:p>
    <w:p>
      <w:pPr>
        <w:pStyle w:val="Normal"/>
        <w:spacing w:lineRule="exact" w:line="420"/>
        <w:ind w:start="420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>1、</w:t>
      </w:r>
      <w:r>
        <w:rPr>
          <w:rFonts w:eastAsia="方正书宋_GBK" w:ascii="方正书宋_GBK" w:hAnsi="方正书宋_GBK"/>
          <w:sz w:val="22"/>
          <w:szCs w:val="22"/>
        </w:rPr>
        <w:t>定</w:t>
      </w:r>
      <w:r>
        <w:rPr>
          <w:rFonts w:ascii="方正书宋_GBK" w:hAnsi="方正书宋_GBK" w:eastAsia="方正书宋_GBK"/>
          <w:sz w:val="22"/>
          <w:szCs w:val="22"/>
        </w:rPr>
        <w:t>金： {</w:t>
      </w:r>
      <w:r>
        <w:rPr>
          <w:rFonts w:ascii="方正书宋_GBK" w:hAnsi="方正书宋_GBK" w:eastAsia="方正书宋_GBK"/>
          <w:sz w:val="22"/>
          <w:szCs w:val="22"/>
          <w:u w:val="single"/>
        </w:rPr>
        <w:t>定金金额} 。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220" w:start="420" w:end="0"/>
        <w:rPr/>
      </w:pPr>
      <w:r>
        <w:rPr>
          <w:rFonts w:eastAsia="方正书宋_GBK" w:ascii="方正书宋_GBK" w:hAnsi="方正书宋_GBK"/>
          <w:sz w:val="22"/>
          <w:szCs w:val="22"/>
        </w:rPr>
        <w:t>{</w:t>
      </w:r>
      <w:r>
        <w:rPr>
          <w:rFonts w:ascii="方正书宋_GBK" w:hAnsi="方正书宋_GBK" w:eastAsia="方正书宋_GBK"/>
          <w:sz w:val="22"/>
          <w:szCs w:val="22"/>
        </w:rPr>
        <w:t>待</w:t>
      </w:r>
      <w:r>
        <w:rPr>
          <w:rFonts w:ascii="方正书宋_GBK" w:hAnsi="方正书宋_GBK" w:eastAsia="方正书宋_GBK"/>
          <w:sz w:val="22"/>
          <w:szCs w:val="22"/>
          <w:u w:val="single"/>
        </w:rPr>
        <w:t>填写内容}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第五条</w:t>
      </w:r>
      <w:r>
        <w:rPr>
          <w:rFonts w:ascii="方正书宋_GBK" w:hAnsi="方正书宋_GBK" w:eastAsia="方正书宋_GBK"/>
          <w:bCs/>
          <w:sz w:val="22"/>
          <w:szCs w:val="22"/>
        </w:rPr>
        <w:t xml:space="preserve"> 违约责任</w:t>
      </w:r>
    </w:p>
    <w:p>
      <w:pPr>
        <w:pStyle w:val="Normal"/>
        <w:spacing w:lineRule="exact" w:line="420"/>
        <w:ind w:firstLine="440" w:end="0"/>
        <w:rPr/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、一方逾期交货或延期支付购货款的，应当每日按照迟延部分价款</w:t>
      </w:r>
      <w:r>
        <w:rPr>
          <w:rFonts w:ascii="方正书宋_GBK" w:hAnsi="方正书宋_GBK" w:eastAsia="方正书宋_GBK"/>
          <w:sz w:val="22"/>
          <w:szCs w:val="22"/>
          <w:u w:val="single"/>
        </w:rPr>
        <w:t>{违约金比例}%</w:t>
      </w:r>
      <w:r>
        <w:rPr>
          <w:rFonts w:eastAsia="方正书宋_GBK" w:ascii="方正书宋_GBK" w:hAnsi="方正书宋_GBK"/>
          <w:sz w:val="22"/>
          <w:szCs w:val="22"/>
        </w:rPr>
        <w:t>的</w:t>
      </w:r>
      <w:r>
        <w:rPr>
          <w:rFonts w:ascii="方正书宋_GBK" w:hAnsi="方正书宋_GBK" w:eastAsia="方正书宋_GBK"/>
          <w:sz w:val="22"/>
          <w:szCs w:val="22"/>
        </w:rPr>
        <w:t>标准向对方支付违约金。</w:t>
      </w:r>
    </w:p>
    <w:p>
      <w:pPr>
        <w:pStyle w:val="Normal"/>
        <w:spacing w:lineRule="exact" w:line="420"/>
        <w:ind w:hanging="220" w:start="779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、一方在不履行或不完全履行合同时，应偿付未履行货款总值</w:t>
      </w:r>
    </w:p>
    <w:p>
      <w:pPr>
        <w:pStyle w:val="Normal"/>
        <w:spacing w:lineRule="exact" w:line="42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%的违约金；需预</w:t>
      </w:r>
      <w:r>
        <w:rPr>
          <w:rFonts w:eastAsia="方正书宋_GBK" w:ascii="方正书宋_GBK" w:hAnsi="方正书宋_GBK"/>
          <w:sz w:val="22"/>
          <w:szCs w:val="22"/>
        </w:rPr>
        <w:t>付</w:t>
      </w:r>
      <w:r>
        <w:rPr>
          <w:rFonts w:ascii="方正书宋_GBK" w:hAnsi="方正书宋_GBK" w:eastAsia="方正书宋_GBK"/>
          <w:sz w:val="22"/>
          <w:szCs w:val="22"/>
        </w:rPr>
        <w:t>定金的，预付定金方违约，无权收回未履行部分的预付定金，收定金方违约，应双倍偿还。</w:t>
      </w:r>
    </w:p>
    <w:p>
      <w:pPr>
        <w:pStyle w:val="Normal"/>
        <w:spacing w:lineRule="exact" w:line="420"/>
        <w:ind w:firstLine="440" w:end="0"/>
        <w:rPr/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、乙方无故拒收产品或不履行合同时，应向甲方偿付被拒收货款价值</w:t>
      </w:r>
      <w:r>
        <w:rPr>
          <w:rFonts w:ascii="方正书宋_GBK" w:hAnsi="方正书宋_GBK" w:eastAsia="方正书宋_GBK"/>
          <w:sz w:val="22"/>
          <w:szCs w:val="22"/>
          <w:u w:val="single"/>
        </w:rPr>
        <w:t>{违约金比例}%</w:t>
      </w:r>
      <w:r>
        <w:rPr>
          <w:rFonts w:eastAsia="方正书宋_GBK" w:ascii="方正书宋_GBK" w:hAnsi="方正书宋_GBK"/>
          <w:sz w:val="22"/>
          <w:szCs w:val="22"/>
        </w:rPr>
        <w:t>的</w:t>
      </w:r>
      <w:r>
        <w:rPr>
          <w:rFonts w:ascii="方正书宋_GBK" w:hAnsi="方正书宋_GBK" w:eastAsia="方正书宋_GBK"/>
          <w:sz w:val="22"/>
          <w:szCs w:val="22"/>
        </w:rPr>
        <w:t>违约金，并承担因此而造成的损失和费用。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eastAsia="方正书宋_GBK"/>
          <w:sz w:val="22"/>
          <w:szCs w:val="22"/>
        </w:rPr>
        <w:t>、甲方逾期交货或有掺杂使假、以次充好等违约行为的，乙方有权拒收或要求补足、换货或退货；甲方承担违约责任，赔偿由此而造成的损失。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第六条</w:t>
      </w:r>
      <w:r>
        <w:rPr>
          <w:rFonts w:ascii="方正书宋_GBK" w:hAnsi="方正书宋_GBK" w:eastAsia="方正书宋_GBK"/>
          <w:bCs/>
          <w:sz w:val="22"/>
          <w:szCs w:val="22"/>
        </w:rPr>
        <w:t xml:space="preserve">  {其他约定内容}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、因受气候原因影响交（提）货时，经双方协商，交货日期可适当提前或推迟。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{内容}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{内容}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第七条</w:t>
      </w:r>
      <w:r>
        <w:rPr>
          <w:rFonts w:ascii="方正书宋_GBK" w:hAnsi="方正书宋_GBK" w:eastAsia="方正书宋_GBK"/>
          <w:bCs/>
          <w:sz w:val="22"/>
          <w:szCs w:val="22"/>
        </w:rPr>
        <w:t xml:space="preserve">  合同变更与解除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买卖双方的任何一方，要求变更或解除合同时，应及时通知对方，并采用书面形式由双方达成协议，未达成协议以前原合同仍然有效。当事人一方接到另一方要求变更或解除合同的建议后，应在收到通知之日起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</w:t>
      </w:r>
      <w:r>
        <w:rPr>
          <w:rFonts w:ascii="方正书宋_GBK" w:hAnsi="方正书宋_GBK" w:eastAsia="方正书宋_GBK"/>
          <w:sz w:val="22"/>
          <w:szCs w:val="22"/>
        </w:rPr>
        <w:t>天数} 天内予以答复，逾期未答复的，即视为认可。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第八条</w:t>
      </w:r>
      <w:r>
        <w:rPr>
          <w:rFonts w:ascii="方正书宋_GBK" w:hAnsi="方正书宋_GBK" w:eastAsia="方正书宋_GBK"/>
          <w:bCs/>
          <w:sz w:val="22"/>
          <w:szCs w:val="22"/>
        </w:rPr>
        <w:t xml:space="preserve"> {合同争议的解决方式}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本合同在履行过程中发生的争议，由双方当事人协商解决，也可由当地有关部门进行调解，协商或调解不成的，按下列第</w:t>
      </w:r>
      <w:r>
        <w:rPr>
          <w:rFonts w:ascii="方正书宋_GBK" w:hAnsi="方正书宋_GBK" w:eastAsia="方正书宋_GBK"/>
          <w:sz w:val="22"/>
          <w:szCs w:val="22"/>
          <w:u w:val="single"/>
        </w:rPr>
        <w:t>{争议解</w:t>
      </w:r>
      <w:r>
        <w:rPr>
          <w:rFonts w:ascii="方正书宋_GBK" w:hAnsi="方正书宋_GBK" w:eastAsia="方正书宋_GBK"/>
          <w:sz w:val="22"/>
          <w:szCs w:val="22"/>
        </w:rPr>
        <w:t>决方式}种方式解决。</w:t>
      </w:r>
    </w:p>
    <w:p>
      <w:pPr>
        <w:pStyle w:val="Normal"/>
        <w:spacing w:lineRule="exact" w:line="420"/>
        <w:ind w:firstLine="440" w:end="0"/>
        <w:rPr/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、提交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{仲裁事项} 仲裁委员会</w:t>
      </w:r>
      <w:r>
        <w:rPr>
          <w:rFonts w:ascii="方正书宋_GBK" w:hAnsi="方正书宋_GBK" w:eastAsia="方正书宋_GBK"/>
          <w:sz w:val="22"/>
          <w:szCs w:val="22"/>
        </w:rPr>
        <w:t>仲裁。</w:t>
      </w:r>
    </w:p>
    <w:p>
      <w:pPr>
        <w:pStyle w:val="Normal"/>
        <w:spacing w:lineRule="exact" w:line="420"/>
        <w:ind w:firstLine="440" w:end="0"/>
        <w:rPr/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、依法向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{人民法院} 起诉。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b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</w:rPr>
        <w:t>第九条</w:t>
      </w:r>
      <w:r>
        <w:rPr>
          <w:rFonts w:ascii="方正书宋_GBK" w:hAnsi="方正书宋_GBK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eastAsia="方正书宋_GBK"/>
          <w:sz w:val="22"/>
          <w:szCs w:val="22"/>
        </w:rPr>
        <w:t>本合同自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</w:t>
      </w:r>
      <w:r>
        <w:rPr>
          <w:rFonts w:ascii="方正书宋_GBK" w:hAnsi="方正书宋_GBK" w:eastAsia="方正书宋_GBK"/>
          <w:sz w:val="22"/>
          <w:szCs w:val="22"/>
        </w:rPr>
        <w:t>{生效日期}起生效。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b/>
          <w:sz w:val="22"/>
          <w:szCs w:val="22"/>
        </w:rPr>
      </w:pPr>
      <w:r>
        <w:rPr>
          <w:rFonts w:eastAsia="方正书宋_GBK" w:ascii="方正书宋_GBK" w:hAnsi="方正书宋_GBK"/>
          <w:b/>
          <w:sz w:val="22"/>
          <w:szCs w:val="22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{买方}：{联系电话}                          {卖方}：{联系电话}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 xml:space="preserve">法定代表人（或负责人）：{法定代表人}  </w:t>
        <w:br/>
        <w:t>法定代表人（或负责人）：{法定代表人}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 xml:space="preserve">委托代表人：{委托代表人}  </w:t>
        <w:br/>
        <w:t>委托代表人：{委托代表人}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开户银行：{开户银行}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帐    号：{帐号}     帐    号：{帐号}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   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>{年}{月}{日}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Style18"/>
        <w:spacing w:lineRule="exact" w:line="600"/>
        <w:rPr>
          <w:szCs w:val="32"/>
        </w:rPr>
      </w:pPr>
      <w:r>
        <w:rPr>
          <w:szCs w:val="32"/>
        </w:rPr>
      </w:r>
    </w:p>
    <w:p>
      <w:pPr>
        <w:pStyle w:val="Normal"/>
        <w:spacing w:lineRule="exact" w:line="600"/>
        <w:ind w:firstLine="570" w:end="0"/>
        <w:rPr>
          <w:szCs w:val="32"/>
        </w:rPr>
      </w:pPr>
      <w:r>
        <w:rPr>
          <w:szCs w:val="32"/>
        </w:rPr>
      </w:r>
    </w:p>
    <w:p>
      <w:pPr>
        <w:pStyle w:val="Normal"/>
        <w:spacing w:lineRule="exact" w:line="600"/>
        <w:ind w:firstLine="570" w:end="0"/>
        <w:rPr/>
      </w:pPr>
      <w:r>
        <w:rPr/>
      </w:r>
    </w:p>
    <w:p>
      <w:pPr>
        <w:pStyle w:val="Normal"/>
        <w:spacing w:lineRule="exact" w:line="600"/>
        <w:ind w:firstLine="570" w:end="0"/>
        <w:rPr/>
      </w:pPr>
      <w:r>
        <w:rPr/>
      </w:r>
    </w:p>
    <w:p>
      <w:pPr>
        <w:pStyle w:val="Normal"/>
        <w:spacing w:lineRule="exact" w:line="600"/>
        <w:ind w:firstLine="570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lineRule="exact" w:line="600"/>
        <w:rPr>
          <w:sz w:val="28"/>
          <w:szCs w:val="32"/>
        </w:rPr>
      </w:pPr>
      <w:r>
        <w:rPr>
          <w:sz w:val="28"/>
          <w:szCs w:val="32"/>
        </w:rPr>
      </w:r>
    </w:p>
    <w:sectPr>
      <w:footerReference w:type="default" r:id="rId2"/>
      <w:type w:val="nextPage"/>
      <w:pgSz w:w="11906" w:h="16838"/>
      <w:pgMar w:left="1418" w:right="1418" w:gutter="0" w:header="0" w:top="1701" w:footer="992" w:bottom="1701"/>
      <w:pgNumType w:fmt="decimal"/>
      <w:formProt w:val="false"/>
      <w:textDirection w:val="lrTb"/>
      <w:docGrid w:type="lines" w:linePitch="312" w:charSpace="215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script"/>
    <w:pitch w:val="default"/>
  </w:font>
  <w:font w:name="方正楷体_GBK">
    <w:charset w:val="86"/>
    <w:family w:val="script"/>
    <w:pitch w:val="default"/>
  </w:font>
  <w:font w:name="方正书宋_GBK">
    <w:charset w:val="86"/>
    <w:family w:val="script"/>
    <w:pitch w:val="default"/>
  </w:font>
  <w:font w:name="方正黑体_GBK">
    <w:charset w:val="86"/>
    <w:family w:val="script"/>
    <w:pitch w:val="default"/>
  </w:font>
  <w:font w:name="宋体">
    <w:altName w:val="SimSun"/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365760" cy="23812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381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ind w:start="210" w:end="210"/>
                            <w:rPr>
                              <w:rStyle w:val="PageNumber"/>
                              <w:rFonts w:ascii="宋体;SimSun" w:hAnsi="宋体;SimSun" w:cs="宋体;SimSu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;SimSun" w:hAnsi="宋体;SimSun" w:cs="宋体;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  <w:rFonts w:ascii="宋体;SimSun" w:hAnsi="宋体;SimSun" w:cs="宋体;SimSun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zCs w:val="28"/>
                              <w:rFonts w:ascii="宋体;SimSun" w:hAnsi="宋体;SimSun" w:cs="宋体;SimSun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rFonts w:ascii="宋体;SimSun" w:hAnsi="宋体;SimSun" w:cs="宋体;SimSun"/>
                            </w:rPr>
                            <w:t>3</w:t>
                          </w:r>
                          <w:r>
                            <w:rPr>
                              <w:sz w:val="28"/>
                              <w:szCs w:val="28"/>
                              <w:rFonts w:ascii="宋体;SimSun" w:hAnsi="宋体;SimSun" w:cs="宋体;SimSu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28.8pt;height:18.75pt;mso-wrap-distance-left:0pt;mso-wrap-distance-right:0pt;mso-wrap-distance-top:0pt;mso-wrap-distance-bottom:0pt;margin-top:0.05pt;mso-position-vertical-relative:text;margin-left:424.7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ind w:start="210" w:end="210"/>
                      <w:rPr>
                        <w:rStyle w:val="PageNumber"/>
                        <w:rFonts w:ascii="宋体;SimSun" w:hAnsi="宋体;SimSun" w:cs="宋体;SimSun"/>
                        <w:sz w:val="28"/>
                        <w:szCs w:val="28"/>
                      </w:rPr>
                    </w:pPr>
                    <w:r>
                      <w:rPr>
                        <w:rFonts w:ascii="宋体;SimSun" w:hAnsi="宋体;SimSun" w:cs="宋体;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  <w:rFonts w:ascii="宋体;SimSun" w:hAnsi="宋体;SimSun" w:cs="宋体;SimSun"/>
                      </w:rPr>
                      <w:instrText xml:space="preserve"> PAGE </w:instrText>
                    </w:r>
                    <w:r>
                      <w:rPr>
                        <w:sz w:val="28"/>
                        <w:szCs w:val="28"/>
                        <w:rFonts w:ascii="宋体;SimSun" w:hAnsi="宋体;SimSun" w:cs="宋体;SimSun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rFonts w:ascii="宋体;SimSun" w:hAnsi="宋体;SimSun" w:cs="宋体;SimSun"/>
                      </w:rPr>
                      <w:t>3</w:t>
                    </w:r>
                    <w:r>
                      <w:rPr>
                        <w:sz w:val="28"/>
                        <w:szCs w:val="28"/>
                        <w:rFonts w:ascii="宋体;SimSun" w:hAnsi="宋体;SimSun" w:cs="宋体;SimSun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IsProcessingDocument" w:val="-1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GB2312">
    <w:name w:val="样式 仿宋_GB2312"/>
    <w:basedOn w:val="Style14"/>
    <w:qFormat/>
    <w:rPr>
      <w:rFonts w:ascii="仿宋_GB2312" w:hAnsi="仿宋_GB2312" w:eastAsia="仿宋_GB2312" w:cs="仿宋_GB2312"/>
      <w:sz w:val="32"/>
    </w:rPr>
  </w:style>
  <w:style w:type="character" w:styleId="Style15">
    <w:name w:val="主题词"/>
    <w:qFormat/>
    <w:rPr>
      <w:rFonts w:eastAsia="黑体;SimHei"/>
      <w:sz w:val="32"/>
    </w:rPr>
  </w:style>
  <w:style w:type="character" w:styleId="Style16">
    <w:name w:val="主题词内容"/>
    <w:qFormat/>
    <w:rPr>
      <w:rFonts w:eastAsia="方正小标宋简体"/>
      <w:sz w:val="32"/>
    </w:rPr>
  </w:style>
  <w:style w:type="character" w:styleId="GB23121">
    <w:name w:val="样式 仿宋_GB23121"/>
    <w:basedOn w:val="Style14"/>
    <w:qFormat/>
    <w:rPr>
      <w:rFonts w:ascii="仿宋_GB2312" w:hAnsi="仿宋_GB2312" w:eastAsia="仿宋_GB2312" w:cs="仿宋_GB2312"/>
      <w:sz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8">
    <w:name w:val="公文正文"/>
    <w:basedOn w:val="Normal"/>
    <w:qFormat/>
    <w:pPr/>
    <w:rPr>
      <w:rFonts w:eastAsia="仿宋_GB2312"/>
      <w:sz w:val="32"/>
      <w:szCs w:val="30"/>
    </w:rPr>
  </w:style>
  <w:style w:type="paragraph" w:styleId="Style19">
    <w:name w:val="字号、主送"/>
    <w:basedOn w:val="Normal"/>
    <w:next w:val="Style18"/>
    <w:qFormat/>
    <w:pPr/>
    <w:rPr>
      <w:rFonts w:eastAsia="仿宋_GB2312"/>
      <w:sz w:val="32"/>
    </w:rPr>
  </w:style>
  <w:style w:type="paragraph" w:styleId="Style20">
    <w:name w:val="小标题（仿宋）"/>
    <w:basedOn w:val="Normal"/>
    <w:next w:val="Style18"/>
    <w:qFormat/>
    <w:pPr/>
    <w:rPr>
      <w:rFonts w:eastAsia="仿宋_GB2312"/>
      <w:sz w:val="30"/>
    </w:rPr>
  </w:style>
  <w:style w:type="paragraph" w:styleId="Style21">
    <w:name w:val="印发"/>
    <w:next w:val="Normal"/>
    <w:qFormat/>
    <w:pPr>
      <w:widowControl/>
      <w:bidi w:val="0"/>
    </w:pPr>
    <w:rPr>
      <w:rFonts w:ascii="Times New Roman" w:hAnsi="Times New Roman" w:eastAsia="仿宋_GB2312" w:cs="Times New Roman"/>
      <w:color w:val="auto"/>
      <w:kern w:val="2"/>
      <w:sz w:val="32"/>
      <w:szCs w:val="24"/>
      <w:lang w:val="en-US" w:eastAsia="zh-CN" w:bidi="ar-SA"/>
    </w:rPr>
  </w:style>
  <w:style w:type="paragraph" w:styleId="Style22">
    <w:name w:val="发文机关"/>
    <w:basedOn w:val="Normal"/>
    <w:next w:val="Style18"/>
    <w:qFormat/>
    <w:pPr/>
    <w:rPr>
      <w:rFonts w:eastAsia="方正小标宋简体"/>
      <w:color w:val="FF0000"/>
      <w:sz w:val="56"/>
      <w:szCs w:val="56"/>
    </w:rPr>
  </w:style>
  <w:style w:type="paragraph" w:styleId="Style23">
    <w:name w:val="小标题（宋体）"/>
    <w:basedOn w:val="Normal"/>
    <w:next w:val="Style18"/>
    <w:qFormat/>
    <w:pPr/>
    <w:rPr>
      <w:sz w:val="30"/>
    </w:rPr>
  </w:style>
  <w:style w:type="paragraph" w:styleId="Style24">
    <w:name w:val="词目"/>
    <w:basedOn w:val="Normal"/>
    <w:next w:val="Style18"/>
    <w:qFormat/>
    <w:pPr/>
    <w:rPr>
      <w:sz w:val="30"/>
    </w:rPr>
  </w:style>
  <w:style w:type="paragraph" w:styleId="Style25">
    <w:name w:val="小标题（黑体）"/>
    <w:basedOn w:val="Normal"/>
    <w:next w:val="Style18"/>
    <w:qFormat/>
    <w:pPr/>
    <w:rPr>
      <w:rFonts w:eastAsia="黑体;SimHei"/>
      <w:sz w:val="30"/>
    </w:rPr>
  </w:style>
  <w:style w:type="paragraph" w:styleId="Style26">
    <w:name w:val="公文标题"/>
    <w:basedOn w:val="Normal"/>
    <w:next w:val="Style18"/>
    <w:qFormat/>
    <w:pPr/>
    <w:rPr>
      <w:rFonts w:eastAsia="方正小标宋简体"/>
      <w:sz w:val="44"/>
    </w:rPr>
  </w:style>
  <w:style w:type="paragraph" w:styleId="Style27">
    <w:name w:val="传真眉首"/>
    <w:next w:val="Style18"/>
    <w:qFormat/>
    <w:pPr>
      <w:widowControl/>
      <w:bidi w:val="0"/>
    </w:pPr>
    <w:rPr>
      <w:rFonts w:ascii="Times New Roman" w:hAnsi="Times New Roman" w:eastAsia="仿宋_GB2312" w:cs="Times New Roman"/>
      <w:color w:val="FF0000"/>
      <w:kern w:val="2"/>
      <w:sz w:val="32"/>
      <w:szCs w:val="24"/>
      <w:lang w:val="en-US" w:eastAsia="zh-CN" w:bidi="ar-SA"/>
    </w:rPr>
  </w:style>
  <w:style w:type="paragraph" w:styleId="Style28">
    <w:name w:val="密级、缓急"/>
    <w:next w:val="Style18"/>
    <w:qFormat/>
    <w:pPr>
      <w:widowControl/>
      <w:bidi w:val="0"/>
    </w:pPr>
    <w:rPr>
      <w:rFonts w:ascii="Times New Roman" w:hAnsi="Times New Roman" w:eastAsia="黑体;SimHei" w:cs="Times New Roman"/>
      <w:color w:val="auto"/>
      <w:kern w:val="2"/>
      <w:sz w:val="30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2013-05-27T16:13:00Z</dcterms:created>
  <dc:creator>admin</dc:creator>
  <dc:description/>
  <cp:keywords/>
  <dc:language>zh-CN</dc:language>
  <cp:lastModifiedBy>李良彬</cp:lastModifiedBy>
  <cp:lastPrinted>2018-12-21T15:35:00Z</cp:lastPrinted>
  <dcterms:modified xsi:type="dcterms:W3CDTF">2022-02-24T15:36:00Z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