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Times New Roman" w:hAnsi="Times New Roman" w:eastAsia="楷体_GB2312;楷体" w:cs="Times New Roman"/>
          <w:sz w:val="28"/>
          <w:szCs w:val="28"/>
        </w:rPr>
      </w:pPr>
      <w:r>
        <w:rPr>
          <w:rFonts w:ascii="Times New Roman" w:hAnsi="Times New Roman" w:cs="Times New Roman" w:eastAsia="楷体_GB2312;楷体"/>
          <w:sz w:val="28"/>
          <w:szCs w:val="28"/>
        </w:rPr>
        <w:t>（</w:t>
      </w:r>
      <w:r>
        <w:rPr>
          <w:rFonts w:eastAsia="楷体_GB2312;楷体" w:cs="Times New Roman"/>
          <w:sz w:val="28"/>
          <w:szCs w:val="28"/>
        </w:rPr>
        <w:t>JF–2011-057</w:t>
      </w:r>
      <w:r>
        <w:rPr>
          <w:rFonts w:ascii="Times New Roman" w:hAnsi="Times New Roman" w:cs="Times New Roman" w:eastAsia="楷体_GB2312;楷体"/>
          <w:sz w:val="28"/>
          <w:szCs w:val="28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（房产承购）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eastAsia="方正黑体_GBK" w:cs="方正黑体_GBK" w:ascii="方正黑体_GBK" w:hAnsi="方正黑体_GBK"/>
          <w:sz w:val="28"/>
          <w:szCs w:val="2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{填写说明}</w:t>
      </w:r>
    </w:p>
    <w:p>
      <w:pPr>
        <w:pStyle w:val="Normal"/>
        <w:jc w:val="both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、本合同适用于我市行政区域内承购存量房的经纪服务活动。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、当事人订立合同前，须认真协商各项条款。一经双方签字或盖章即生效（当事人另有约定的除外），任何条款的变更须经双方协商一致后，签字或盖章确认。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合同应当用钢笔、毛笔、签字笔及打印填写，</w:t>
      </w:r>
      <w:r>
        <w:rPr>
          <w:rFonts w:ascii="方正书宋_GBK" w:hAnsi="方正书宋_GBK" w:cs="方正书宋_GBK" w:eastAsia="方正书宋_GBK"/>
          <w:sz w:val="22"/>
          <w:szCs w:val="22"/>
        </w:rPr>
        <w:t>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 w:cs="方正书宋_GBK"/>
          <w:b/>
          <w:sz w:val="36"/>
          <w:szCs w:val="22"/>
        </w:rPr>
      </w:pPr>
      <w:r>
        <w:rPr>
          <w:rFonts w:eastAsia="楷体_GB2312;楷体" w:cs="方正书宋_GBK" w:ascii="楷体_GB2312;楷体" w:hAnsi="楷体_GB2312;楷体"/>
          <w:b/>
          <w:sz w:val="36"/>
          <w:szCs w:val="22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napToGrid w:val="false"/>
        <w:jc w:val="center"/>
        <w:rPr>
          <w:rFonts w:ascii="楷体_GB2312;楷体" w:hAnsi="楷体_GB2312;楷体" w:eastAsia="楷体_GB2312;楷体"/>
          <w:sz w:val="36"/>
        </w:rPr>
      </w:pPr>
      <w:r>
        <w:rPr>
          <w:rFonts w:eastAsia="楷体_GB2312;楷体" w:ascii="楷体_GB2312;楷体" w:hAnsi="楷体_GB2312;楷体"/>
          <w:sz w:val="36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auto" w:line="360"/>
        <w:ind w:firstLine="555" w:end="0"/>
        <w:rPr>
          <w:rFonts w:ascii="楷体_GB2312;楷体" w:hAnsi="楷体_GB2312;楷体" w:eastAsia="楷体_GB2312;楷体"/>
          <w:b/>
          <w:sz w:val="32"/>
          <w:u w:val="single"/>
        </w:rPr>
      </w:pPr>
      <w:r>
        <w:rPr>
          <w:rFonts w:eastAsia="楷体_GB2312;楷体" w:ascii="楷体_GB2312;楷体" w:hAnsi="楷体_GB2312;楷体"/>
          <w:b/>
          <w:sz w:val="32"/>
          <w:u w:val="single"/>
        </w:rPr>
      </w:r>
    </w:p>
    <w:p>
      <w:pPr>
        <w:pStyle w:val="Normal"/>
        <w:spacing w:lineRule="exact" w:line="600"/>
        <w:ind w:firstLine="640" w:end="0"/>
        <w:rPr>
          <w:rFonts w:ascii="楷体_GB2312;楷体" w:hAnsi="楷体_GB2312;楷体" w:eastAsia="仿宋_GB2312;仿宋"/>
          <w:b/>
          <w:sz w:val="32"/>
          <w:u w:val="single"/>
        </w:rPr>
      </w:pPr>
      <w:r>
        <w:rPr>
          <w:rFonts w:eastAsia="仿宋_GB2312;仿宋" w:ascii="楷体_GB2312;楷体" w:hAnsi="楷体_GB2312;楷体"/>
          <w:b/>
          <w:sz w:val="32"/>
          <w:u w:val="single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>合同编号：{合同编号}</w:t>
      </w:r>
      <w:r>
        <w:rPr>
          <w:rFonts w:ascii="楷体_GB2312;楷体" w:hAnsi="楷体_GB2312;楷体" w:eastAsia="楷体_GB2312;楷体"/>
          <w:sz w:val="28"/>
        </w:rPr>
      </w:r>
    </w:p>
    <w:p>
      <w:pPr>
        <w:pStyle w:val="Normal"/>
        <w:spacing w:lineRule="exact" w:line="580"/>
        <w:jc w:val="center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天津市房地产经纪服务合同（房产承购）</w:t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 w:cs="方正小标宋_GBK"/>
          <w:b/>
          <w:bCs/>
          <w:sz w:val="44"/>
          <w:szCs w:val="40"/>
        </w:rPr>
      </w:pPr>
      <w:r>
        <w:rPr>
          <w:rFonts w:eastAsia="楷体_GB2312;楷体" w:cs="方正小标宋_GBK" w:ascii="楷体_GB2312;楷体" w:hAnsi="楷体_GB2312;楷体"/>
          <w:b/>
          <w:bCs/>
          <w:sz w:val="44"/>
          <w:szCs w:val="40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{委托人（以下简称甲方）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{姓名}：{联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系方式} 国籍：{国籍}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{证件号码}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{法定代表人} 营业执照号码：{营</w:t>
      </w:r>
      <w:r>
        <w:rPr>
          <w:rFonts w:ascii="方正书宋_GBK" w:hAnsi="方正书宋_GBK" w:cs="方正书宋_GBK" w:eastAsia="方正书宋_GBK"/>
          <w:sz w:val="22"/>
          <w:szCs w:val="22"/>
        </w:rPr>
        <w:t>业执照号码}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{受托人名称}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{法定代表人} 营业执照号码：{营</w:t>
      </w:r>
      <w:r>
        <w:rPr>
          <w:rFonts w:ascii="方正书宋_GBK" w:hAnsi="方正书宋_GBK" w:cs="方正书宋_GBK" w:eastAsia="方正书宋_GBK"/>
          <w:sz w:val="22"/>
          <w:szCs w:val="22"/>
        </w:rPr>
        <w:t>业执照号码}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{备案证号}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{地址}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/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{邮政编码} 联系电话：{联系电话}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{姓名}          注册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证号：{注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册证号}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{姓名}        注册证号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：{注册证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号}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购买的经纪服务，达成如下条款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第一条 {购买房产需求}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（一）需求房产区域：天津市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；户型：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{户型}；朝向：{朝向}；</w:t>
      </w:r>
      <w:r>
        <w:rPr>
          <w:rFonts w:ascii="方正书宋_GBK" w:hAnsi="方正书宋_GBK" w:cs="方正书宋_GBK" w:eastAsia="方正书宋_GBK"/>
          <w:sz w:val="22"/>
          <w:szCs w:val="22"/>
        </w:rPr>
        <w:t>建筑面积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：{建筑面积}平方</w:t>
      </w:r>
      <w:r>
        <w:rPr>
          <w:rFonts w:ascii="方正书宋_GBK" w:hAnsi="方正书宋_GBK" w:cs="方正书宋_GBK" w:eastAsia="方正书宋_GBK"/>
          <w:sz w:val="22"/>
          <w:szCs w:val="22"/>
        </w:rPr>
        <w:t>米左右；计租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面积{计租面积}平方</w:t>
      </w:r>
      <w:r>
        <w:rPr>
          <w:rFonts w:ascii="方正书宋_GBK" w:hAnsi="方正书宋_GBK" w:cs="方正书宋_GBK" w:eastAsia="方正书宋_GBK"/>
          <w:sz w:val="22"/>
          <w:szCs w:val="22"/>
        </w:rPr>
        <w:t>米左右；楼层范围：{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楼层范围}。</w:t>
      </w:r>
      <w:r>
        <w:rPr>
          <w:rFonts w:ascii="方正书宋_GBK" w:hAnsi="方正书宋_GBK" w:cs="方正书宋_GBK" w:eastAsia="方正书宋_GBK"/>
          <w:sz w:val="22"/>
          <w:szCs w:val="22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（二）房产用途： □住宅  □商业 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>{房产用途} 。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产别：□私产  □公产  □企业产  □{其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他产别}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（三）室内装修情况：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{室内装修情况}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（四）房价款（每套单元）：人民币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{最低房价}万元</w:t>
      </w:r>
      <w:r>
        <w:rPr>
          <w:rFonts w:ascii="方正书宋_GBK" w:hAnsi="方正书宋_GBK" w:cs="方正书宋_GBK" w:eastAsia="方正书宋_GBK"/>
          <w:sz w:val="22"/>
          <w:szCs w:val="22"/>
        </w:rPr>
        <w:t>至{最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高房价}万元左</w:t>
      </w:r>
      <w:r>
        <w:rPr>
          <w:rFonts w:ascii="方正书宋_GBK" w:hAnsi="方正书宋_GBK" w:cs="方正书宋_GBK" w:eastAsia="方正书宋_GBK"/>
          <w:sz w:val="22"/>
          <w:szCs w:val="22"/>
        </w:rPr>
        <w:t>右。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{内容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（六）以上需求最终以甲方和售房人签订的房产交易合同内容为准。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在签署本合同前，乙方应按照《房地产经纪管理办法》等相关规定，书面告知甲方房产交易的相关事项。书面告知材料应当经甲方签名（盖章）确认。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证件查验及{留存内容}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为保证本合同顺利履行，甲方应向乙方提供以下证件原件进行查验，并保证提供的资料真实、合法：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、身份证 {证件类型}    护照 {证件类型}    营业执照{证件类型}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、身份证 {证件类型}    护照 {证件类型}     营业执照{证件类型}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{内容} 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 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{服务项目}                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提供与购买房产相关的法律法规、政策、市场行情咨询。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提供甲方意向购买房产的真实信息并促成签订房产交易合同。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对符合甲方基本要求的房产进行</w:t>
      </w:r>
      <w:r>
        <w:rPr>
          <w:rFonts w:ascii="方正书宋_GBK" w:hAnsi="方正书宋_GBK" w:cs="方正书宋_GBK" w:eastAsia="方正书宋_GBK"/>
          <w:sz w:val="22"/>
          <w:szCs w:val="22"/>
        </w:rPr>
        <w:t>产权调查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和实地看房。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指导甲方签订房产交易合同。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协助查验并接收房产、附属设施及家具设备等。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代办贷款手续。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{空白部分} 。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61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委托期限与方式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{选项}      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年份}年{开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月份}月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开始日期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}日起，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至{结束年份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年{结束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份}月{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结束日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期}日止。除甲、乙双方另有约定同意延期外，期限届满后本合同自行终止。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自本协议签订之日起，至甲方与售房人签订房产交易合同之日止。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color w:val="000000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{是否承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 xml:space="preserve">诺}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>在委托期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>{选择项}项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约定向乙方支付经纪服务费：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按房产交易合同中房价款的百分之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{百分比}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{小写百</w:t>
      </w:r>
      <w:r>
        <w:rPr>
          <w:rFonts w:eastAsia="方正书宋_GBK" w:cs="方正书宋_GBK" w:ascii="方正书宋_GBK" w:hAnsi="方正书宋_GBK"/>
          <w:color w:val="000000"/>
          <w:sz w:val="22"/>
          <w:szCs w:val="22"/>
          <w:u w:val="single"/>
        </w:rPr>
        <w:t>分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比}%）支付，支付时间为房产交易合同签订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  <w:u w:val="single"/>
        </w:rPr>
        <w:t>之日起{天数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}日内。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代办贷款服务费（大写）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{金额小写}元</w:t>
      </w:r>
      <w:r>
        <w:rPr>
          <w:rFonts w:ascii="方正书宋_GBK" w:hAnsi="方正书宋_GBK" w:cs="方正书宋_GBK" w:eastAsia="方正书宋_GBK"/>
          <w:sz w:val="22"/>
          <w:szCs w:val="22"/>
        </w:rPr>
        <w:t>），支付时间为贷款手续完成之日起{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支付天数}日内。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{金额小写}元</w:t>
      </w:r>
      <w:r>
        <w:rPr>
          <w:rFonts w:ascii="方正书宋_GBK" w:hAnsi="方正书宋_GBK" w:cs="方正书宋_GBK" w:eastAsia="方正书宋_GBK"/>
          <w:sz w:val="22"/>
          <w:szCs w:val="22"/>
        </w:rPr>
        <w:t>），支付时间为产权过户手续完成之日起{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支付时间}日内。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11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{内容}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第七条 {甲方权利义务}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（一）甲方应如实告知乙方购买房产的真实需求。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{同意/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不同意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>}  由第</w:t>
      </w:r>
      <w:r>
        <w:rPr>
          <w:rFonts w:ascii="方正书宋_GBK" w:hAnsi="方正书宋_GBK" w:cs="方正书宋_GBK" w:eastAsia="方正书宋_GBK"/>
          <w:sz w:val="22"/>
          <w:szCs w:val="22"/>
        </w:rPr>
        <w:t>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第八条 {乙方权利义务}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（五）乙方不得隐瞒真实的房产交易信息，赚取房产交易差价。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{内容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第九条 {甲方违约责任}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{时间} </w:t>
      </w:r>
      <w:r>
        <w:rPr>
          <w:rFonts w:ascii="方正书宋_GBK" w:hAnsi="方正书宋_GBK" w:cs="方正书宋_GBK" w:eastAsia="方正书宋_GBK"/>
          <w:sz w:val="22"/>
          <w:szCs w:val="22"/>
        </w:rPr>
        <w:t>个月内，与乙方介绍过的客户成交的，甲方应当支付约定的经纪服务费；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但甲方能证明该项交易与乙方的服务没有直接因果关系的除外。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（三）甲方如未能按时将约定的经纪服务费支付给乙方，每逾期一日向乙方支付违约金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{违约金金额} 元，直至经纪服务</w:t>
      </w:r>
      <w:r>
        <w:rPr>
          <w:rFonts w:ascii="方正书宋_GBK" w:hAnsi="方正书宋_GBK" w:cs="方正书宋_GBK" w:eastAsia="方正书宋_GBK"/>
          <w:sz w:val="22"/>
          <w:szCs w:val="22"/>
        </w:rPr>
        <w:t>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（四）甲方承诺为独家委托的，在独家委托期间，甲方与第三方签订房产交易合同的，应当向乙方支付约定的经纪服务费。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第十条  乙方{违约责任}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{内容}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{待填写的空白部分}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第十一条  {争议处理内容}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本合同发生争议，甲乙双方应协商解决。协商不成的，按下列第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{争议解</w:t>
      </w:r>
      <w:r>
        <w:rPr>
          <w:rFonts w:ascii="方正书宋_GBK" w:hAnsi="方正书宋_GBK" w:cs="方正书宋_GBK" w:eastAsia="方正书宋_GBK"/>
          <w:sz w:val="22"/>
          <w:szCs w:val="22"/>
        </w:rPr>
        <w:t>决方式}种方式解决：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{申请</w:t>
      </w:r>
      <w:r>
        <w:rPr>
          <w:rFonts w:eastAsia="方正书宋_GBK" w:cs="方正书宋_GBK" w:ascii="方正书宋_GBK" w:hAnsi="方正书宋_GBK"/>
          <w:sz w:val="22"/>
          <w:szCs w:val="22"/>
        </w:rPr>
        <w:t>仲裁</w:t>
      </w:r>
      <w:r>
        <w:rPr>
          <w:rFonts w:ascii="方正书宋_GBK" w:hAnsi="方正书宋_GBK" w:cs="方正书宋_GBK" w:eastAsia="方正书宋_GBK"/>
          <w:sz w:val="22"/>
          <w:szCs w:val="22"/>
        </w:rPr>
        <w:t>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>构}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第十二条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本合同未尽事宜，甲乙双方订立补充合同（附件一）。补充合同与本合同具有同等法律效力。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第十三条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{页数}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{份数}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第十四条  合同生效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{甲方}：{乙方}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执业经纪人员（签字）：{签字}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经纪人员注册号：{注册号}</w:t>
      </w:r>
      <w:r>
        <w:rPr>
          <w:rFonts w:ascii="方正书宋_GBK" w:hAnsi="方正书宋_GBK" w:cs="方正书宋_GBK" w:eastAsia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1423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{日期}                          {日期}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eastAsia="方正楷体_GBK" w:cs="方正楷体_GBK" w:ascii="方正楷体_GBK" w:hAnsi="方正楷体_GBK"/>
          <w:b w:val="false"/>
          <w:bCs/>
          <w:sz w:val="28"/>
          <w:szCs w:val="28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40"/>
          <w:szCs w:val="40"/>
        </w:rPr>
      </w:pPr>
      <w:r>
        <w:rPr>
          <w:rFonts w:ascii="方正书宋_GBK" w:hAnsi="方正书宋_GBK" w:cs="方正书宋_GBK" w:eastAsia="方正书宋_GBK"/>
          <w:b/>
          <w:sz w:val="40"/>
          <w:szCs w:val="40"/>
        </w:rPr>
        <w:t>补充合同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2022-02-18T16:58:17Z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