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2015</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0401</w:t>
      </w:r>
    </w:p>
    <w:p>
      <w:pPr>
        <w:pStyle w:val="Normal"/>
        <w:jc w:val="center"/>
        <w:rPr>
          <w:rFonts w:ascii="仿宋_GB2312" w:hAnsi="仿宋_GB2312" w:eastAsia="仿宋_GB2312" w:cs="Times New Roman;Nimbus Roman No9 L"/>
          <w:color w:val="000000"/>
          <w:kern w:val="0"/>
          <w:sz w:val="32"/>
          <w:szCs w:val="32"/>
          <w:lang w:val="en-US" w:eastAsia="zh-CN" w:bidi="ar-SA"/>
        </w:rPr>
      </w:pPr>
      <w:r>
        <w:rPr>
          <w:rFonts w:eastAsia="仿宋_GB2312" w:cs="Times New Roman;Nimbus Roman No9 L" w:ascii="仿宋_GB2312" w:hAnsi="仿宋_GB2312"/>
          <w:color w:val="000000"/>
          <w:kern w:val="0"/>
          <w:sz w:val="32"/>
          <w:szCs w:val="32"/>
          <w:lang w:val="en-US" w:eastAsia="zh-CN" w:bidi="ar-SA"/>
        </w:rPr>
      </w:r>
    </w:p>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辽宁省旅游包车客运合同</w:t>
      </w:r>
    </w:p>
    <w:p>
      <w:pPr>
        <w:pStyle w:val="Normal"/>
        <w:snapToGrid w:val="false"/>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Normal"/>
        <w:rPr>
          <w:rFonts w:ascii="仿宋_GB2312" w:hAnsi="仿宋_GB2312" w:eastAsia="仿宋_GB2312" w:cs="宋体;方正书宋_GBK"/>
          <w:sz w:val="32"/>
          <w:szCs w:val="32"/>
          <w:lang w:val="en-US" w:eastAsia="zh-CN" w:bidi="ar-SA"/>
        </w:rPr>
      </w:pPr>
      <w:r>
        <w:rPr>
          <w:rFonts w:eastAsia="仿宋_GB2312" w:cs="宋体;方正书宋_GBK" w:ascii="仿宋_GB2312" w:hAnsi="仿宋_GB2312"/>
          <w:sz w:val="32"/>
          <w:szCs w:val="32"/>
          <w:lang w:val="en-US" w:eastAsia="zh-CN" w:bidi="ar-SA"/>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{甲方}：</w:t>
      </w:r>
      <w:r>
        <w:rPr>
          <w:rFonts w:ascii="方正楷体_GBK" w:hAnsi="方正楷体_GBK" w:cs="方正楷体_GBK" w:eastAsia="方正楷体_GBK"/>
          <w:kern w:val="2"/>
          <w:sz w:val="28"/>
          <w:szCs w:val="28"/>
          <w:u w:val="single"/>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{乙方}</w:t>
      </w:r>
      <w:r>
        <w:rPr>
          <w:rFonts w:ascii="方正楷体_GBK" w:hAnsi="方正楷体_GBK" w:cs="方正楷体_GBK" w:eastAsia="方正楷体_GBK"/>
          <w:kern w:val="2"/>
          <w:sz w:val="28"/>
          <w:szCs w:val="28"/>
          <w:u w:val="single"/>
          <w:lang w:val="en-US" w:eastAsia="zh-CN" w:bidi="ar-SA"/>
        </w:rPr>
      </w:r>
    </w:p>
    <w:p>
      <w:pPr>
        <w:pStyle w:val="Normal"/>
        <w:ind w:firstLine="960" w:end="0"/>
        <w:rPr>
          <w:rFonts w:ascii="仿宋_GB2312" w:hAnsi="仿宋_GB2312" w:eastAsia="仿宋_GB2312" w:cs="宋体;方正书宋_GBK"/>
          <w:kern w:val="2"/>
          <w:sz w:val="32"/>
          <w:szCs w:val="32"/>
          <w:u w:val="single"/>
          <w:lang w:val="en-US" w:eastAsia="zh-CN" w:bidi="ar-SA"/>
        </w:rPr>
      </w:pPr>
      <w:r>
        <w:rPr>
          <w:rFonts w:eastAsia="仿宋_GB2312" w:cs="宋体;方正书宋_GBK" w:ascii="仿宋_GB2312" w:hAnsi="仿宋_GB2312"/>
          <w:kern w:val="2"/>
          <w:sz w:val="32"/>
          <w:szCs w:val="32"/>
          <w:u w:val="single"/>
          <w:lang w:val="en-US" w:eastAsia="zh-CN" w:bidi="ar-SA"/>
        </w:rPr>
      </w:r>
    </w:p>
    <w:p>
      <w:pPr>
        <w:pStyle w:val="Normal"/>
        <w:jc w:val="center"/>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Style17"/>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辽宁省交通厅</w:t>
      </w:r>
    </w:p>
    <w:p>
      <w:pPr>
        <w:pStyle w:val="Style17"/>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楷体_GB2312;楷体" w:eastAsia="楷体_GB2312;楷体"/>
          <w:color w:val="000000"/>
          <w:spacing w:val="18"/>
          <w:sz w:val="32"/>
          <w:szCs w:val="32"/>
          <w:lang w:val="en-US" w:eastAsia="zh-CN" w:bidi="ar-SA"/>
        </w:rPr>
        <w:t>辽宁省旅游局印</w:t>
      </w:r>
      <w:r>
        <w:rPr>
          <w:rFonts w:ascii="楷体_GB2312;楷体" w:hAnsi="楷体_GB2312;楷体" w:cs="宋体;方正书宋_GBK" w:eastAsia="楷体_GB2312;楷体"/>
          <w:color w:val="000000"/>
          <w:spacing w:val="18"/>
          <w:sz w:val="32"/>
          <w:szCs w:val="32"/>
          <w:lang w:val="en-US" w:eastAsia="zh-CN" w:bidi="ar-SA"/>
        </w:rPr>
        <w:t>制</w:t>
      </w:r>
    </w:p>
    <w:p>
      <w:pPr>
        <w:pStyle w:val="Style17"/>
        <w:widowControl w:val="false"/>
        <w:snapToGrid w:val="false"/>
        <w:spacing w:lineRule="exact" w:line="482"/>
        <w:jc w:val="center"/>
        <w:rPr>
          <w:rFonts w:ascii="仿宋_GB2312" w:hAnsi="仿宋_GB2312" w:eastAsia="仿宋_GB2312" w:cs="宋体;方正书宋_GBK"/>
          <w:sz w:val="32"/>
          <w:szCs w:val="32"/>
        </w:rPr>
      </w:pP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本合同由辽宁省交通厅、辽宁省旅游局和辽宁省工商行政管理局共同制定，供双方签订合同时使用，签订前请仔细阅读。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本合同适用于辽宁省范围内旅行社和旅游包车客运企业之间租车时使用，倡导其他用车单位和旅游包车客运企业使用本合同文本。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合同具有法律效力，是确保双方权利义务的有效凭证。签订合同时，双方应当结合具体情况和实际需求，选择本合同中的协议条款如实填写。合同签订后，双方应妥善保存合同文本及合同履行过程中的票据、证明等相关资料，以便当合法权益受到侵害时，作为投诉凭据、索赔证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本合同中有关条款留有空白行，供双方自行约定。对双方不予约定的空白行，应当划“</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以示没有特别约定。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本合同条款前有“□”符号的，甲乙双方应当协商选定。双方选定的条款，应当在“□”中划“√”以示选定；双方不选的条款，应当在“□”中划“</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双方可以书面形式对本示范文本内容予以变更或补充。变更或补充的内容，应符合相关法律法规规定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不得减轻或者免除应承担的责任。</w:t>
      </w:r>
    </w:p>
    <w:p>
      <w:pPr>
        <w:sectPr>
          <w:footerReference w:type="even" r:id="rId2"/>
          <w:footerReference w:type="default" r:id="rId3"/>
          <w:type w:val="nextPage"/>
          <w:pgSz w:w="11906" w:h="16838"/>
          <w:pgMar w:left="1701" w:right="1701" w:gutter="0" w:header="0" w:top="1418" w:footer="720" w:bottom="1418"/>
          <w:pgNumType w:start="3" w:fmt="decimal"/>
          <w:formProt w:val="false"/>
          <w:textDirection w:val="lrTb"/>
          <w:docGrid w:type="lines" w:linePitch="312" w:charSpace="0"/>
        </w:sect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本合同自</w:t>
      </w:r>
      <w:r>
        <w:rPr>
          <w:rFonts w:eastAsia="方正书宋_GBK" w:cs="方正书宋_GBK" w:ascii="方正书宋_GBK" w:hAnsi="方正书宋_GBK"/>
          <w:color w:val="000000"/>
          <w:kern w:val="2"/>
          <w:sz w:val="22"/>
          <w:szCs w:val="22"/>
          <w:u w:val="none"/>
          <w:lang w:val="en-US" w:eastAsia="zh-CN" w:bidi="ar-SA"/>
        </w:rPr>
        <w:t>2015</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日起使用。合同条款由辽宁省交通厅、辽宁省旅游局和辽宁省工商行政管理局负责解释。</w:t>
      </w:r>
      <w:r>
        <w:br w:type="page"/>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辽宁省旅游包车客运合同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合同当事人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w:t>
      </w:r>
      <w:r>
        <w:rPr>
          <w:rFonts w:ascii="方正书宋_GBK" w:hAnsi="方正书宋_GBK" w:cs="方正书宋_GBK" w:eastAsia="方正书宋_GBK"/>
          <w:color w:val="000000"/>
          <w:kern w:val="2"/>
          <w:sz w:val="22"/>
          <w:szCs w:val="22"/>
          <w:u w:val="singl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住所：</w:t>
      </w:r>
      <w:r>
        <w:rPr>
          <w:rFonts w:ascii="方正书宋_GBK" w:hAnsi="方正书宋_GBK" w:cs="方正书宋_GBK" w:eastAsia="方正书宋_GBK"/>
          <w:color w:val="000000"/>
          <w:kern w:val="2"/>
          <w:sz w:val="22"/>
          <w:szCs w:val="22"/>
          <w:u w:val="single"/>
          <w:lang w:val="en-US" w:eastAsia="zh-CN" w:bidi="ar-SA"/>
        </w:rPr>
        <w:t>{住所地址}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通信地址：</w:t>
      </w:r>
      <w:r>
        <w:rPr>
          <w:rFonts w:ascii="方正书宋_GBK" w:hAnsi="方正书宋_GBK" w:cs="方正书宋_GBK" w:eastAsia="方正书宋_GBK"/>
          <w:color w:val="000000"/>
          <w:kern w:val="2"/>
          <w:sz w:val="22"/>
          <w:szCs w:val="22"/>
          <w:u w:val="single"/>
          <w:lang w:val="en-US" w:eastAsia="zh-CN" w:bidi="ar-SA"/>
        </w:rPr>
        <w:t>{通信地址}</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邮编：</w:t>
      </w:r>
      <w:r>
        <w:rPr>
          <w:rFonts w:ascii="方正书宋_GBK" w:hAnsi="方正书宋_GBK" w:cs="方正书宋_GBK" w:eastAsia="方正书宋_GBK"/>
          <w:color w:val="000000"/>
          <w:kern w:val="2"/>
          <w:sz w:val="22"/>
          <w:szCs w:val="22"/>
          <w:u w:val="single"/>
          <w:lang w:val="en-US" w:eastAsia="zh-CN" w:bidi="ar-SA"/>
        </w:rPr>
        <w:t>{邮编}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营业执照号：</w:t>
      </w:r>
      <w:r>
        <w:rPr>
          <w:rFonts w:ascii="方正书宋_GBK" w:hAnsi="方正书宋_GBK" w:cs="方正书宋_GBK" w:eastAsia="方正书宋_GBK"/>
          <w:color w:val="000000"/>
          <w:kern w:val="2"/>
          <w:sz w:val="22"/>
          <w:szCs w:val="22"/>
          <w:u w:val="single"/>
          <w:lang w:val="en-US" w:eastAsia="zh-CN" w:bidi="ar-SA"/>
        </w:rPr>
        <w:t xml:space="preserve"> {营业执照号}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旅行社业务经营许可证号：</w:t>
      </w:r>
      <w:r>
        <w:rPr>
          <w:rFonts w:ascii="方正书宋_GBK" w:hAnsi="方正书宋_GBK" w:cs="方正书宋_GBK" w:eastAsia="方正书宋_GBK"/>
          <w:color w:val="000000"/>
          <w:kern w:val="2"/>
          <w:sz w:val="22"/>
          <w:szCs w:val="22"/>
          <w:u w:val="single"/>
          <w:lang w:val="en-US" w:eastAsia="zh-CN" w:bidi="ar-SA"/>
        </w:rPr>
        <w:t>{许可证号}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w:t>
      </w:r>
      <w:r>
        <w:rPr>
          <w:rFonts w:ascii="方正书宋_GBK" w:hAnsi="方正书宋_GBK" w:cs="方正书宋_GBK" w:eastAsia="方正书宋_GBK"/>
          <w:color w:val="000000"/>
          <w:kern w:val="2"/>
          <w:sz w:val="22"/>
          <w:szCs w:val="22"/>
          <w:u w:val="singl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住所：</w:t>
      </w:r>
      <w:r>
        <w:rPr>
          <w:rFonts w:ascii="方正书宋_GBK" w:hAnsi="方正书宋_GBK" w:cs="方正书宋_GBK" w:eastAsia="方正书宋_GBK"/>
          <w:color w:val="000000"/>
          <w:kern w:val="2"/>
          <w:sz w:val="22"/>
          <w:szCs w:val="22"/>
          <w:u w:val="single"/>
          <w:lang w:val="en-US" w:eastAsia="zh-CN" w:bidi="ar-SA"/>
        </w:rPr>
        <w:t>{住所地址}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通信地址：</w:t>
      </w:r>
      <w:r>
        <w:rPr>
          <w:rFonts w:ascii="方正书宋_GBK" w:hAnsi="方正书宋_GBK" w:cs="方正书宋_GBK" w:eastAsia="方正书宋_GBK"/>
          <w:color w:val="000000"/>
          <w:kern w:val="2"/>
          <w:sz w:val="22"/>
          <w:szCs w:val="22"/>
          <w:u w:val="single"/>
          <w:lang w:val="en-US" w:eastAsia="zh-CN" w:bidi="ar-SA"/>
        </w:rPr>
        <w:t>{通信地址}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邮编：</w:t>
      </w:r>
      <w:r>
        <w:rPr>
          <w:rFonts w:ascii="方正书宋_GBK" w:hAnsi="方正书宋_GBK" w:cs="方正书宋_GBK" w:eastAsia="方正书宋_GBK"/>
          <w:color w:val="000000"/>
          <w:kern w:val="2"/>
          <w:sz w:val="22"/>
          <w:szCs w:val="22"/>
          <w:u w:val="single"/>
          <w:lang w:val="en-US" w:eastAsia="zh-CN" w:bidi="ar-SA"/>
        </w:rPr>
        <w:t>{邮编}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营业执照号：</w:t>
      </w:r>
      <w:r>
        <w:rPr>
          <w:rFonts w:ascii="方正书宋_GBK" w:hAnsi="方正书宋_GBK" w:cs="方正书宋_GBK" w:eastAsia="方正书宋_GBK"/>
          <w:color w:val="000000"/>
          <w:kern w:val="2"/>
          <w:sz w:val="22"/>
          <w:szCs w:val="22"/>
          <w:u w:val="single"/>
          <w:lang w:val="en-US" w:eastAsia="zh-CN" w:bidi="ar-SA"/>
        </w:rPr>
        <w:t xml:space="preserve"> {营业执照号}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道路运输经营许可证号：</w:t>
      </w:r>
      <w:r>
        <w:rPr>
          <w:rFonts w:ascii="方正书宋_GBK" w:hAnsi="方正书宋_GBK" w:cs="方正书宋_GBK" w:eastAsia="方正书宋_GBK"/>
          <w:color w:val="000000"/>
          <w:kern w:val="2"/>
          <w:sz w:val="22"/>
          <w:szCs w:val="22"/>
          <w:u w:val="single"/>
          <w:lang w:val="en-US" w:eastAsia="zh-CN" w:bidi="ar-SA"/>
        </w:rPr>
        <w:t>{许可证号}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其他：</w:t>
      </w:r>
      <w:r>
        <w:rPr>
          <w:rFonts w:ascii="方正书宋_GBK" w:hAnsi="方正书宋_GBK" w:cs="方正书宋_GBK" w:eastAsia="方正书宋_GBK"/>
          <w:color w:val="000000"/>
          <w:kern w:val="2"/>
          <w:sz w:val="22"/>
          <w:szCs w:val="22"/>
          <w:u w:val="single"/>
          <w:lang w:val="en-US" w:eastAsia="zh-CN" w:bidi="ar-SA"/>
        </w:rPr>
        <w:t>{内容}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合同构成 {合同构成内容}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（一）本合同由正本和附件（即包车确认单）构成，附件为甲、乙双方在正本有效期内就单个包车事宜达成的具体合同，可以变更正本的个别条款，在每次包车前经双方签字确认，自签订起发生效力。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甲、乙双方可根据包车数量、特别约定等内容的多少，参照合同附件制定包车确认单。包车确认单应详细写明各项用车要求，包括车辆型号、服务要求、用车数量、用车地点、具体时间、行程安排、用车费用、结算方式和确认期限要求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合同标的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本合同标的为乙方提供的车辆、驾驶员及服务，具体见包车确认单。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费用结算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（一）租车费用包括：{费用明细}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车辆租用费；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过路、过桥费；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高速公路费；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停车费；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{其他费用}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驾驶员食宿由甲方安排。车辆故障修理费、驾驶员违规罚款由乙方承担。租车费用由双方在包车确认单中予以约定，经双方确认后，即作为甲方向乙方付款的依据。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（二）付款方式及时间（选择一种）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 □</w:t>
      </w:r>
      <w:r>
        <w:rPr>
          <w:rFonts w:eastAsia="方正书宋_GBK" w:cs="方正书宋_GBK" w:ascii="方正书宋_GBK" w:hAnsi="方正书宋_GBK"/>
          <w:color w:val="000000"/>
          <w:kern w:val="2"/>
          <w:sz w:val="22"/>
          <w:szCs w:val="22"/>
          <w:u w:val="single"/>
          <w:lang w:val="en-US" w:eastAsia="zh-CN" w:bidi="ar-SA"/>
        </w:rPr>
        <w:t xml:space="preserve">{结算周期} </w:t>
      </w:r>
      <w:r>
        <w:rPr>
          <w:rFonts w:ascii="方正书宋_GBK" w:hAnsi="方正书宋_GBK" w:cs="方正书宋_GBK" w:eastAsia="方正书宋_GBK"/>
          <w:color w:val="000000"/>
          <w:kern w:val="2"/>
          <w:sz w:val="22"/>
          <w:szCs w:val="22"/>
          <w:u w:val="none"/>
          <w:lang w:val="en-US" w:eastAsia="zh-CN" w:bidi="ar-SA"/>
        </w:rPr>
        <w:t>月结算一次，结算月的最后一天为结算截止日期；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每团结算一次，团队行程结束后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{结算日期}日内进行结算；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合同有效期截止时一次性结算。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乙方在结算时应向甲方提供有效发票；乙方开户行</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{开户行}, 账号：{账号}。甲、乙</w:t>
      </w:r>
      <w:r>
        <w:rPr>
          <w:rFonts w:ascii="方正书宋_GBK" w:hAnsi="方正书宋_GBK" w:cs="方正书宋_GBK" w:eastAsia="方正书宋_GBK"/>
          <w:color w:val="000000"/>
          <w:kern w:val="2"/>
          <w:sz w:val="22"/>
          <w:szCs w:val="22"/>
          <w:u w:val="none"/>
          <w:lang w:val="en-US" w:eastAsia="zh-CN" w:bidi="ar-SA"/>
        </w:rPr>
        <w:t>双方各</w:t>
      </w:r>
      <w:r>
        <w:rPr>
          <w:rFonts w:ascii="方正书宋_GBK" w:hAnsi="方正书宋_GBK" w:cs="方正书宋_GBK" w:eastAsia="方正书宋_GBK"/>
          <w:color w:val="000000"/>
          <w:kern w:val="2"/>
          <w:sz w:val="22"/>
          <w:szCs w:val="22"/>
          <w:u w:val="single"/>
          <w:lang w:val="en-US" w:eastAsia="zh-CN" w:bidi="ar-SA"/>
        </w:rPr>
        <w:t>自保存包车确认单和发票。</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向乙方提供相关经营资质，包括《旅行社业务经营许可证》、《营业执照》、《资金信用证明》和旅行社责任险等。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甲方必须提前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{提前天数}    日以传真等书面形式向乙方预定租车计划，以双方书面形式确认为准。如不能按照</w:t>
      </w:r>
      <w:r>
        <w:rPr>
          <w:rFonts w:ascii="方正书宋_GBK" w:hAnsi="方正书宋_GBK" w:cs="方正书宋_GBK" w:eastAsia="方正书宋_GBK"/>
          <w:color w:val="000000"/>
          <w:kern w:val="2"/>
          <w:sz w:val="22"/>
          <w:szCs w:val="22"/>
          <w:u w:val="single"/>
          <w:lang w:val="en-US" w:eastAsia="zh-CN" w:bidi="ar-SA"/>
        </w:rPr>
        <w:t>约定的时</w:t>
      </w:r>
      <w:r>
        <w:rPr>
          <w:rFonts w:ascii="方正书宋_GBK" w:hAnsi="方正书宋_GBK" w:cs="方正书宋_GBK" w:eastAsia="方正书宋_GBK"/>
          <w:color w:val="000000"/>
          <w:kern w:val="2"/>
          <w:sz w:val="22"/>
          <w:szCs w:val="22"/>
          <w:u w:val="none"/>
          <w:lang w:val="en-US" w:eastAsia="zh-CN" w:bidi="ar-SA"/>
        </w:rPr>
        <w:t>间使</w:t>
      </w:r>
      <w:r>
        <w:rPr>
          <w:rFonts w:ascii="方正书宋_GBK" w:hAnsi="方正书宋_GBK" w:cs="方正书宋_GBK" w:eastAsia="方正书宋_GBK"/>
          <w:color w:val="000000"/>
          <w:kern w:val="2"/>
          <w:sz w:val="22"/>
          <w:szCs w:val="22"/>
          <w:u w:val="single"/>
          <w:lang w:val="en-US" w:eastAsia="zh-CN" w:bidi="ar-SA"/>
        </w:rPr>
        <w:t xml:space="preserve">用车辆，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月份1} </w:t>
      </w:r>
      <w:r>
        <w:rPr>
          <w:rFonts w:ascii="方正书宋_GBK" w:hAnsi="方正书宋_GBK" w:cs="方正书宋_GBK" w:eastAsia="方正书宋_GBK"/>
          <w:color w:val="000000"/>
          <w:kern w:val="2"/>
          <w:sz w:val="22"/>
          <w:szCs w:val="22"/>
          <w:u w:val="none"/>
          <w:lang w:val="en-US" w:eastAsia="zh-CN" w:bidi="ar-SA"/>
        </w:rPr>
        <w:t xml:space="preserve">   月至    {月份2} </w:t>
      </w:r>
      <w:r>
        <w:rPr>
          <w:rFonts w:ascii="方正书宋_GBK" w:hAnsi="方正书宋_GBK" w:cs="方正书宋_GBK" w:eastAsia="方正书宋_GBK"/>
          <w:color w:val="000000"/>
          <w:kern w:val="2"/>
          <w:sz w:val="22"/>
          <w:szCs w:val="22"/>
          <w:u w:val="single"/>
          <w:lang w:val="en-US" w:eastAsia="zh-CN" w:bidi="ar-SA"/>
        </w:rPr>
        <w:t xml:space="preserve">   月应</w:t>
      </w:r>
      <w:r>
        <w:rPr>
          <w:rFonts w:ascii="方正书宋_GBK" w:hAnsi="方正书宋_GBK" w:cs="方正书宋_GBK" w:eastAsia="方正书宋_GBK"/>
          <w:color w:val="000000"/>
          <w:kern w:val="2"/>
          <w:sz w:val="22"/>
          <w:szCs w:val="22"/>
          <w:u w:val="none"/>
          <w:lang w:val="en-US" w:eastAsia="zh-CN" w:bidi="ar-SA"/>
        </w:rPr>
        <w:t>提前    {提前天数1}    日书面通知乙方，其他月份应提前    {提前天数2}    日书面通知乙方；必须如实、详细填写行程中途径地点和租车时间。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未经甲方授权同意，乙方与甲方单位个人签订租车协议的，甲方不承担任何法律责任。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审查乙方提供车辆、驾驶员的{资质证照}、车辆保险等相关资料，如企业、车辆、驾驶员不符合约定，或因乙方的原因导致行程延误</w:t>
      </w:r>
      <w:r>
        <w:rPr>
          <w:rFonts w:ascii="方正书宋_GBK" w:hAnsi="方正书宋_GBK" w:cs="方正书宋_GBK" w:eastAsia="方正书宋_GBK"/>
          <w:color w:val="000000"/>
          <w:kern w:val="2"/>
          <w:sz w:val="22"/>
          <w:szCs w:val="22"/>
          <w:u w:val="single"/>
          <w:lang w:val="en-US" w:eastAsia="zh-CN" w:bidi="ar-SA"/>
        </w:rPr>
        <w:t>超过{时间}</w:t>
      </w:r>
      <w:r>
        <w:rPr>
          <w:rFonts w:ascii="方正书宋_GBK" w:hAnsi="方正书宋_GBK" w:cs="方正书宋_GBK" w:eastAsia="方正书宋_GBK"/>
          <w:color w:val="000000"/>
          <w:kern w:val="2"/>
          <w:sz w:val="22"/>
          <w:szCs w:val="22"/>
          <w:u w:val="none"/>
          <w:lang w:val="en-US" w:eastAsia="zh-CN" w:bidi="ar-SA"/>
        </w:rPr>
        <w:t>小时的，可以要求乙方调换车辆或驾驶员。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甲方在使用车辆过程中，有责任和义务向游客宣传爱护车辆设施设备，如有人为因素损坏应照价赔偿；有权拒绝支付合同之外相关费用（如驾驶员小费、驾驶员景点参观费用等）。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车辆行驶过程中，应尊重乙方驾驶员的工作，不能影响驾驶员的安全行驶，不能强迫驾驶员改变行程，保证驾驶员的休息时间等，否则，造成的后果由甲方承担。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团队结束行程，甲方应在约定时间内向乙方支付租车费用。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因乙方违约有权要求赔偿。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（二）乙方权利义务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向甲方提供相关经营资质，包括：{经营资质}，车辆{行驶证和道路运输证}，机动车交强险、承运人责任险保单，驾驶员的{从业资格证和驾驶证}等。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接到甲方包车预订单后，应当积极保证甲方用车，及时以书面方式予以确认。乙方如不能按照约定时间提供车辆，应提前通知甲方</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{起始月份</w:t>
      </w:r>
      <w:r>
        <w:rPr>
          <w:rFonts w:ascii="方正书宋_GBK" w:hAnsi="方正书宋_GBK" w:cs="方正书宋_GBK" w:eastAsia="方正书宋_GBK"/>
          <w:color w:val="000000"/>
          <w:kern w:val="2"/>
          <w:sz w:val="22"/>
          <w:szCs w:val="22"/>
          <w:u w:val="none"/>
          <w:lang w:val="en-US" w:eastAsia="zh-CN" w:bidi="ar-SA"/>
        </w:rPr>
        <w:t>}至</w:t>
      </w:r>
      <w:r>
        <w:rPr>
          <w:rFonts w:ascii="方正书宋_GBK" w:hAnsi="方正书宋_GBK" w:cs="方正书宋_GBK" w:eastAsia="方正书宋_GBK"/>
          <w:color w:val="000000"/>
          <w:kern w:val="2"/>
          <w:sz w:val="22"/>
          <w:szCs w:val="22"/>
          <w:u w:val="single"/>
          <w:lang w:val="en-US" w:eastAsia="zh-CN" w:bidi="ar-SA"/>
        </w:rPr>
        <w:t>{结束月份}</w:t>
      </w:r>
      <w:r>
        <w:rPr>
          <w:rFonts w:ascii="方正书宋_GBK" w:hAnsi="方正书宋_GBK" w:cs="方正书宋_GBK" w:eastAsia="方正书宋_GBK"/>
          <w:color w:val="000000"/>
          <w:kern w:val="2"/>
          <w:sz w:val="22"/>
          <w:szCs w:val="22"/>
          <w:u w:val="none"/>
          <w:lang w:val="en-US" w:eastAsia="zh-CN" w:bidi="ar-SA"/>
        </w:rPr>
        <w:t>提前{</w:t>
      </w:r>
      <w:r>
        <w:rPr>
          <w:rFonts w:ascii="方正书宋_GBK" w:hAnsi="方正书宋_GBK" w:cs="方正书宋_GBK" w:eastAsia="方正书宋_GBK"/>
          <w:color w:val="000000"/>
          <w:kern w:val="2"/>
          <w:sz w:val="22"/>
          <w:szCs w:val="22"/>
          <w:u w:val="single"/>
          <w:lang w:val="en-US" w:eastAsia="zh-CN" w:bidi="ar-SA"/>
        </w:rPr>
        <w:t>提前天数1</w:t>
      </w:r>
      <w:r>
        <w:rPr>
          <w:rFonts w:ascii="方正书宋_GBK" w:hAnsi="方正书宋_GBK" w:cs="方正书宋_GBK" w:eastAsia="方正书宋_GBK"/>
          <w:color w:val="000000"/>
          <w:kern w:val="2"/>
          <w:sz w:val="22"/>
          <w:szCs w:val="22"/>
          <w:u w:val="none"/>
          <w:lang w:val="en-US" w:eastAsia="zh-CN" w:bidi="ar-SA"/>
        </w:rPr>
        <w:t>}日，其他月份提</w:t>
      </w:r>
      <w:r>
        <w:rPr>
          <w:rFonts w:ascii="方正书宋_GBK" w:hAnsi="方正书宋_GBK" w:cs="方正书宋_GBK" w:eastAsia="方正书宋_GBK"/>
          <w:color w:val="000000"/>
          <w:kern w:val="2"/>
          <w:sz w:val="22"/>
          <w:szCs w:val="22"/>
          <w:u w:val="single"/>
          <w:lang w:val="en-US" w:eastAsia="zh-CN" w:bidi="ar-SA"/>
        </w:rPr>
        <w:t>前{提前天</w:t>
      </w:r>
      <w:r>
        <w:rPr>
          <w:rFonts w:ascii="方正书宋_GBK" w:hAnsi="方正书宋_GBK" w:cs="方正书宋_GBK" w:eastAsia="方正书宋_GBK"/>
          <w:color w:val="000000"/>
          <w:kern w:val="2"/>
          <w:sz w:val="22"/>
          <w:szCs w:val="22"/>
          <w:u w:val="none"/>
          <w:lang w:val="en-US" w:eastAsia="zh-CN" w:bidi="ar-SA"/>
        </w:rPr>
        <w:t>数2}日。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未经乙方授权签订租车协议，甲方向乙方单位个人订车的，乙方不承担任何法律责任。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审查甲方提供为合法旅行社、保险等资信证明材料；拒绝甲方超过车辆核定限额安排人员、要求驾驶员超时驾驶等影响行车安全的要求，拒绝甲方超出约定的行程安排。</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委托的驾驶员应符合：一是取得与准驾车型相符合的《机动车驾驶证》和《从业资格证》以及法律法规规定的客运驾驶人应当具备的条件。二是保证仪容整洁、仪表大方、举止文雅、精神饱满，三是恪守{职业道德}，尊重旅游者的{宗教信仰}和{风俗习惯}。四是不得侵犯旅游者人身和财产权益。五是按照约定的行程{安全行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提供的车辆应当具备的条件：一是依法取得与每运次经营范围相符的{道路运输证}。二是经公安、交通部门检测合格。三是足额投保了机动车交强险和承运人责任险等法定保险。四是取得交通部门核发的{包车客运标志牌}。五是行车前具备安全行车的要求。六是符合行业标准或{包车确认单约定的标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在车辆运行途中，不得擅自终止合同，拒载游客。车辆发生事故，应及时组织参与救援；不承担甲方及甲方乘车人员的财物保管义务。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按照合同约定，要求甲方支付租车费用；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因甲方违约有权要求赔偿。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乙方委派的驾驶员与甲方随团人员应当密切合作，共同维护游客的利益，确保行程的顺利进行。如发生争议或特殊情况，应尽可能在行程结束后解决，单方擅自终止或延误行程，给另一方造成损失的，应当承担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其他约定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{空</w:t>
      </w:r>
      <w:r>
        <w:rPr>
          <w:rFonts w:eastAsia="方正书宋_GBK" w:cs="方正书宋_GBK" w:ascii="方正书宋_GBK" w:hAnsi="方正书宋_GBK"/>
          <w:color w:val="000000"/>
          <w:kern w:val="2"/>
          <w:sz w:val="22"/>
          <w:szCs w:val="22"/>
          <w:u w:val="single"/>
          <w:lang w:val="en-US" w:eastAsia="zh-CN" w:bidi="ar-SA"/>
        </w:rPr>
        <w:t>白部分}；</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{待填</w:t>
      </w:r>
      <w:r>
        <w:rPr>
          <w:rFonts w:eastAsia="方正书宋_GBK" w:cs="方正书宋_GBK" w:ascii="方正书宋_GBK" w:hAnsi="方正书宋_GBK"/>
          <w:color w:val="000000"/>
          <w:kern w:val="2"/>
          <w:sz w:val="22"/>
          <w:szCs w:val="22"/>
          <w:u w:val="single"/>
          <w:lang w:val="en-US" w:eastAsia="zh-CN" w:bidi="ar-SA"/>
        </w:rPr>
        <w:t>写内容}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甲方如不能按照约定时间使用车辆，又不及时在约定日期前通知乙方的，应当支付约定车费</w:t>
      </w:r>
      <w:r>
        <w:rPr>
          <w:rFonts w:ascii="方正书宋_GBK" w:hAnsi="方正书宋_GBK" w:cs="方正书宋_GBK" w:eastAsia="方正书宋_GBK"/>
          <w:color w:val="000000"/>
          <w:kern w:val="2"/>
          <w:sz w:val="22"/>
          <w:szCs w:val="22"/>
          <w:u w:val="single"/>
          <w:lang w:val="en-US" w:eastAsia="zh-CN" w:bidi="ar-SA"/>
        </w:rPr>
        <w:t>{违约</w:t>
      </w:r>
      <w:r>
        <w:rPr>
          <w:rFonts w:eastAsia="方正书宋_GBK" w:cs="方正书宋_GBK" w:ascii="方正书宋_GBK" w:hAnsi="方正书宋_GBK"/>
          <w:color w:val="000000"/>
          <w:kern w:val="2"/>
          <w:sz w:val="22"/>
          <w:szCs w:val="22"/>
          <w:u w:val="none"/>
          <w:lang w:val="en-US" w:eastAsia="zh-CN" w:bidi="ar-SA"/>
        </w:rPr>
        <w:t>金</w:t>
      </w:r>
      <w:r>
        <w:rPr>
          <w:rFonts w:ascii="方正书宋_GBK" w:hAnsi="方正书宋_GBK" w:cs="方正书宋_GBK" w:eastAsia="方正书宋_GBK"/>
          <w:color w:val="000000"/>
          <w:kern w:val="2"/>
          <w:sz w:val="22"/>
          <w:szCs w:val="22"/>
          <w:u w:val="none"/>
          <w:lang w:val="en-US" w:eastAsia="zh-CN" w:bidi="ar-SA"/>
        </w:rPr>
        <w:t>比例}%的违约金；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甲方如不能按照约定数量使用车辆，不使用的车辆视为不能按照约定时间使用，应当按本款第一条支付相应违约金；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因甲方不能按照约定时间、数量使用车辆，给乙方造成损失的，甲方应当赔偿乙方经济损失；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由于甲方原因造成行程延误，超出约定租车期限的，甲方应当支付超时部分的用车费用，费用标准由双方协商确定；给乙方造成经济损失的，还应赔偿经济损失；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因甲方导致车辆损坏或造成安全事故的，应当承担损害赔偿责任。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（二）乙方违约责任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 乙方如不能按照约定时间提供车辆，又不及时在约定日期前通知甲方的，应当支付约定车</w:t>
      </w:r>
      <w:r>
        <w:rPr>
          <w:rFonts w:ascii="方正书宋_GBK" w:hAnsi="方正书宋_GBK" w:cs="方正书宋_GBK" w:eastAsia="方正书宋_GBK"/>
          <w:color w:val="000000"/>
          <w:kern w:val="2"/>
          <w:sz w:val="22"/>
          <w:szCs w:val="22"/>
          <w:u w:val="single"/>
          <w:lang w:val="en-US" w:eastAsia="zh-CN" w:bidi="ar-SA"/>
        </w:rPr>
        <w:t xml:space="preserve">费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{违约金比例}%的违约金；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乙方如不能按照约定数量提供车辆，缺少的车辆视为不能按照约定时间提供，应当按本款第一条支付相应违约金；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乙方如不能按照约定时间、数量、车型提供车辆，给甲方造成损失的，乙方应当赔偿经济损失；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乙方提供的车辆标准低于约定标准的，乙方应当积极采取补救措施；确实无法改正的，乙方应当减少或退还约定价款与所提供车辆租用价款的差额，并支付约定价款</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违约金比例}%的违约金；给甲方造成经济损失的，应当赔偿经济损失；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由于乙方原因造成旅游团延误行程或误机（车、船）的，乙方应当支付约定车费</w:t>
      </w:r>
      <w:r>
        <w:rPr>
          <w:rFonts w:ascii="方正书宋_GBK" w:hAnsi="方正书宋_GBK" w:cs="方正书宋_GBK" w:eastAsia="方正书宋_GBK"/>
          <w:color w:val="000000"/>
          <w:kern w:val="2"/>
          <w:sz w:val="22"/>
          <w:szCs w:val="22"/>
          <w:u w:val="single"/>
          <w:lang w:val="en-US" w:eastAsia="zh-CN" w:bidi="ar-SA"/>
        </w:rPr>
        <w:t>{违约金</w:t>
      </w:r>
      <w:r>
        <w:rPr>
          <w:rFonts w:eastAsia="方正书宋_GBK" w:cs="方正书宋_GBK" w:ascii="方正书宋_GBK" w:hAnsi="方正书宋_GBK"/>
          <w:color w:val="000000"/>
          <w:kern w:val="2"/>
          <w:sz w:val="22"/>
          <w:szCs w:val="22"/>
          <w:u w:val="none"/>
          <w:lang w:val="en-US" w:eastAsia="zh-CN" w:bidi="ar-SA"/>
        </w:rPr>
        <w:t>比</w:t>
      </w:r>
      <w:r>
        <w:rPr>
          <w:rFonts w:ascii="方正书宋_GBK" w:hAnsi="方正书宋_GBK" w:cs="方正书宋_GBK" w:eastAsia="方正书宋_GBK"/>
          <w:color w:val="000000"/>
          <w:kern w:val="2"/>
          <w:sz w:val="22"/>
          <w:szCs w:val="22"/>
          <w:u w:val="none"/>
          <w:lang w:val="en-US" w:eastAsia="zh-CN" w:bidi="ar-SA"/>
        </w:rPr>
        <w:t>例}%违约金；给甲方造成直接经济损失的，应当按照约定赔偿经济损失；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乙方应当对行车过程中团队游客和导游人员（含乙方人员）因交通事故引发的伤亡承担损害赔偿责任；但伤亡是因游客、导游人员自身健康原因或者是故意、重大过失造成的除外；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乙方过错造成游客随车物品丢失、损坏的，乙方应当赔偿损失，赔偿数额按有关规定或协商解决；若因车辆或驾驶员的原因引起团队游客投诉，乙方应当承担由此对甲方造成的经济或信誉损失；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驾驶员侵犯游客的人身和财产权益造成损失的，乙方应当承担侵权损害赔偿责任。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免责规定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（一）双方因不可抗力原因不能履行合同的，应当在不可抗力发生后</w:t>
      </w:r>
      <w:r>
        <w:rPr>
          <w:rFonts w:eastAsia="方正书宋_GBK" w:cs="方正书宋_GBK" w:ascii="方正书宋_GBK" w:hAnsi="方正书宋_GBK"/>
          <w:color w:val="000000"/>
          <w:kern w:val="2"/>
          <w:sz w:val="22"/>
          <w:szCs w:val="22"/>
          <w:u w:val="none"/>
          <w:lang w:val="en-US" w:eastAsia="zh-CN" w:bidi="ar-SA"/>
        </w:rPr>
        <w:t>12</w:t>
      </w:r>
      <w:r>
        <w:rPr>
          <w:rFonts w:ascii="方正书宋_GBK" w:hAnsi="方正书宋_GBK" w:cs="方正书宋_GBK" w:eastAsia="方正书宋_GBK"/>
          <w:color w:val="000000"/>
          <w:kern w:val="2"/>
          <w:sz w:val="22"/>
          <w:szCs w:val="22"/>
          <w:u w:val="none"/>
          <w:lang w:val="en-US" w:eastAsia="zh-CN" w:bidi="ar-SA"/>
        </w:rPr>
        <w:t>个小时内通知对方，并提供不能履约的充分证据。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（二）如遇塌方、路阻、冰雪、大雾、堵车、非本车交通事故等原因造成行程不能完成或延误的，双方应协商解决后续事宜。</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（三）损失是由一方自身过错造成的，对方不承担责任。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（四）一方违约的，对方应积极采取适当措施阻止损失扩大，否则不得就扩大部分的损失要求赔偿。违约方应当承担对方为阻止损失扩大而支付的合理费用，但以损失可能扩大的数额为限。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争议解决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本合同在履行过程中发生争议的，双方应本着友好合作的态度协商解决。协商不成的：{解决方案}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（一）□向 </w:t>
      </w:r>
      <w:r>
        <w:rPr>
          <w:rFonts w:ascii="方正书宋_GBK" w:hAnsi="方正书宋_GBK" w:cs="方正书宋_GBK" w:eastAsia="方正书宋_GBK"/>
          <w:color w:val="000000"/>
          <w:kern w:val="2"/>
          <w:sz w:val="22"/>
          <w:szCs w:val="22"/>
          <w:u w:val="single"/>
          <w:lang w:val="en-US" w:eastAsia="zh-CN" w:bidi="ar-SA"/>
        </w:rPr>
        <w:t>{仲裁机构} 申请仲裁；</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（二）□向</w:t>
      </w:r>
      <w:r>
        <w:rPr>
          <w:rFonts w:ascii="方正书宋_GBK" w:hAnsi="方正书宋_GBK" w:cs="方正书宋_GBK" w:eastAsia="方正书宋_GBK"/>
          <w:color w:val="000000"/>
          <w:kern w:val="2"/>
          <w:sz w:val="22"/>
          <w:szCs w:val="22"/>
          <w:u w:val="single"/>
          <w:lang w:val="en-US" w:eastAsia="zh-CN" w:bidi="ar-SA"/>
        </w:rPr>
        <w:t xml:space="preserve"> {人民法院} 提起诉讼。</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附则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本合同未尽事宜应当依据有关法律、法规和规章之规定执行，或另行签订补充协议，补充协议与本合同具有同等法律效力。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本合同自双方签订之日起生效。本合同一式两份，经甲乙双方签字或者盖章后生效，甲乙双方各持一份，具有同等法律效力。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甲方法定代表人：{甲方法定代表人} 乙方法定代表人：{乙方法定代表人}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甲方委托代理人：{甲方委托代理人} 乙方委托代理人：{乙方委托代理人}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联系电话：{联系电话}  </w:t>
        <w:br/>
        <w:t>联系电话：{联系电话}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none"/>
          <w:lang w:val="en-US" w:eastAsia="zh-CN" w:bidi="ar-SA"/>
        </w:rPr>
        <w:t>期}                        {日期}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包车确认单</w:t>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bl>
      <w:tblPr>
        <w:tblW w:w="8564" w:type="dxa"/>
        <w:jc w:val="start"/>
        <w:tblInd w:w="96" w:type="dxa"/>
        <w:tblLayout w:type="fixed"/>
        <w:tblCellMar>
          <w:top w:w="0" w:type="dxa"/>
          <w:start w:w="108" w:type="dxa"/>
          <w:bottom w:w="0" w:type="dxa"/>
          <w:end w:w="108" w:type="dxa"/>
        </w:tblCellMar>
      </w:tblPr>
      <w:tblGrid>
        <w:gridCol w:w="800"/>
        <w:gridCol w:w="889"/>
        <w:gridCol w:w="1126"/>
        <w:gridCol w:w="1463"/>
        <w:gridCol w:w="1262"/>
        <w:gridCol w:w="1588"/>
        <w:gridCol w:w="1436"/>
      </w:tblGrid>
      <w:tr>
        <w:trPr>
          <w:trHeight w:val="686" w:hRule="atLeast"/>
        </w:trPr>
        <w:tc>
          <w:tcPr>
            <w:tcW w:w="800" w:type="dxa"/>
            <w:tcBorders/>
            <w:vAlign w:val="bottom"/>
          </w:tcPr>
          <w:p>
            <w:pPr>
              <w:pStyle w:val="Normal"/>
              <w:widowControl/>
              <w:jc w:val="start"/>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p>
        </w:tc>
        <w:tc>
          <w:tcPr>
            <w:tcW w:w="889" w:type="dxa"/>
            <w:tcBorders/>
            <w:vAlign w:val="bottom"/>
          </w:tcPr>
          <w:p>
            <w:pPr>
              <w:pStyle w:val="Normal"/>
              <w:widowControl/>
              <w:snapToGrid w:val="false"/>
              <w:jc w:val="star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126" w:type="dxa"/>
            <w:tcBorders/>
            <w:vAlign w:val="bottom"/>
          </w:tcPr>
          <w:p>
            <w:pPr>
              <w:pStyle w:val="Normal"/>
              <w:widowControl/>
              <w:snapToGrid w:val="false"/>
              <w:jc w:val="start"/>
              <w:rPr>
                <w:rFonts w:ascii="宋体;方正书宋_GBK" w:hAnsi="宋体;方正书宋_GBK" w:eastAsia="方正书宋_GBK" w:cs="宋体;方正书宋_GBK"/>
                <w:color w:val="000000"/>
                <w:kern w:val="0"/>
                <w:sz w:val="24"/>
                <w:szCs w:val="22"/>
                <w:u w:val="none"/>
                <w:lang w:val="en-US" w:eastAsia="zh-CN" w:bidi="ar-SA"/>
              </w:rPr>
            </w:pPr>
            <w:r>
              <w:rPr>
                <w:rFonts w:eastAsia="方正书宋_GBK" w:cs="宋体;方正书宋_GBK" w:ascii="宋体;方正书宋_GBK" w:hAnsi="宋体;方正书宋_GBK"/>
                <w:color w:val="000000"/>
                <w:kern w:val="0"/>
                <w:sz w:val="24"/>
                <w:szCs w:val="22"/>
                <w:u w:val="none"/>
                <w:lang w:val="en-US" w:eastAsia="zh-CN" w:bidi="ar-SA"/>
              </w:rPr>
            </w:r>
          </w:p>
        </w:tc>
        <w:tc>
          <w:tcPr>
            <w:tcW w:w="1463"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c>
          <w:tcPr>
            <w:tcW w:w="1262"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c>
          <w:tcPr>
            <w:tcW w:w="1588"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c>
          <w:tcPr>
            <w:tcW w:w="1436"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r>
      <w:tr>
        <w:trPr>
          <w:trHeight w:val="555" w:hRule="atLeast"/>
        </w:trPr>
        <w:tc>
          <w:tcPr>
            <w:tcW w:w="8564" w:type="dxa"/>
            <w:gridSpan w:val="7"/>
            <w:tcBorders/>
            <w:vAlign w:val="center"/>
          </w:tcPr>
          <w:p>
            <w:pPr>
              <w:pStyle w:val="Normal"/>
              <w:widowControl/>
              <w:jc w:val="center"/>
              <w:rPr>
                <w:rFonts w:ascii="方正小标宋简体" w:hAnsi="方正小标宋简体" w:eastAsia="方正小标宋简体" w:cs="宋体;方正书宋_GBK"/>
                <w:kern w:val="0"/>
                <w:sz w:val="44"/>
                <w:szCs w:val="44"/>
              </w:rPr>
            </w:pPr>
            <w:r>
              <w:rPr>
                <w:rFonts w:ascii="方正小标宋_GBK" w:hAnsi="方正小标宋_GBK" w:cs="方正小标宋_GBK" w:eastAsia="方正小标宋_GBK"/>
                <w:color w:val="000000"/>
                <w:kern w:val="2"/>
                <w:sz w:val="40"/>
                <w:szCs w:val="40"/>
                <w:u w:val="none"/>
                <w:lang w:val="en-US" w:eastAsia="zh-CN" w:bidi="ar-SA"/>
              </w:rPr>
              <w:t>包车确认单</w:t>
            </w:r>
          </w:p>
        </w:tc>
      </w:tr>
      <w:tr>
        <w:trPr>
          <w:trHeight w:val="435" w:hRule="atLeast"/>
        </w:trPr>
        <w:tc>
          <w:tcPr>
            <w:tcW w:w="800" w:type="dxa"/>
            <w:tcBorders/>
            <w:vAlign w:val="center"/>
          </w:tcPr>
          <w:p>
            <w:pPr>
              <w:pStyle w:val="Normal"/>
              <w:widowControl/>
              <w:snapToGrid w:val="false"/>
              <w:jc w:val="start"/>
              <w:rPr>
                <w:rFonts w:ascii="仿宋_GB2312" w:hAnsi="仿宋_GB2312" w:eastAsia="仿宋_GB2312" w:cs="宋体;方正书宋_GBK"/>
                <w:kern w:val="0"/>
                <w:sz w:val="24"/>
                <w:szCs w:val="44"/>
              </w:rPr>
            </w:pPr>
            <w:r>
              <w:rPr>
                <w:rFonts w:eastAsia="仿宋_GB2312" w:cs="宋体;方正书宋_GBK" w:ascii="仿宋_GB2312" w:hAnsi="仿宋_GB2312"/>
                <w:kern w:val="0"/>
                <w:sz w:val="24"/>
                <w:szCs w:val="44"/>
              </w:rPr>
            </w:r>
          </w:p>
        </w:tc>
        <w:tc>
          <w:tcPr>
            <w:tcW w:w="889"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126"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463"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262"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588" w:type="dxa"/>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合同编号：</w:t>
            </w:r>
          </w:p>
        </w:tc>
        <w:tc>
          <w:tcPr>
            <w:tcW w:w="1436"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甲方经办人</w:t>
            </w:r>
          </w:p>
        </w:tc>
        <w:tc>
          <w:tcPr>
            <w:tcW w:w="1126"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262"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传真</w:t>
            </w:r>
          </w:p>
        </w:tc>
        <w:tc>
          <w:tcPr>
            <w:tcW w:w="1436"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乙方经办人</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传真</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包车时间</w:t>
            </w:r>
          </w:p>
        </w:tc>
        <w:tc>
          <w:tcPr>
            <w:tcW w:w="6875" w:type="dxa"/>
            <w:gridSpan w:val="5"/>
            <w:tcBorders>
              <w:top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仿宋_GB2312" w:eastAsia="仿宋_GB2312"/>
                <w:kern w:val="0"/>
                <w:sz w:val="24"/>
              </w:rPr>
              <w:t xml:space="preserve">    </w:t>
            </w:r>
            <w:r>
              <w:rPr>
                <w:rFonts w:ascii="仿宋_GB2312" w:hAnsi="仿宋_GB2312" w:cs="宋体;方正书宋_GBK" w:eastAsia="仿宋_GB2312"/>
                <w:kern w:val="0"/>
                <w:sz w:val="24"/>
              </w:rPr>
              <w:t>年  月  日至   年   月   日，共  天  夜。</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行驶路线</w:t>
            </w:r>
          </w:p>
        </w:tc>
        <w:tc>
          <w:tcPr>
            <w:tcW w:w="6875" w:type="dxa"/>
            <w:gridSpan w:val="5"/>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xml:space="preserve">集合时间 </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仿宋_GB2312" w:eastAsia="仿宋_GB2312"/>
                <w:kern w:val="0"/>
                <w:sz w:val="24"/>
              </w:rPr>
              <w:t xml:space="preserve"> </w:t>
            </w:r>
            <w:r>
              <w:rPr>
                <w:rFonts w:ascii="仿宋_GB2312" w:hAnsi="仿宋_GB2312" w:cs="宋体;方正书宋_GBK" w:eastAsia="仿宋_GB2312"/>
                <w:kern w:val="0"/>
                <w:sz w:val="24"/>
              </w:rPr>
              <w:t>月  日  时</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集合地点</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包车数量</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690" w:hRule="atLeast"/>
        </w:trPr>
        <w:tc>
          <w:tcPr>
            <w:tcW w:w="800"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车辆</w:t>
            </w:r>
          </w:p>
        </w:tc>
        <w:tc>
          <w:tcPr>
            <w:tcW w:w="889"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车牌号</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座位数</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空调</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仿宋_GB2312" w:eastAsia="仿宋_GB2312"/>
                <w:kern w:val="0"/>
                <w:sz w:val="24"/>
              </w:rPr>
              <w:t>□</w:t>
            </w:r>
            <w:r>
              <w:rPr>
                <w:rFonts w:ascii="仿宋_GB2312" w:hAnsi="仿宋_GB2312" w:cs="宋体;方正书宋_GBK" w:eastAsia="仿宋_GB2312"/>
                <w:kern w:val="0"/>
                <w:sz w:val="24"/>
              </w:rPr>
              <w:t>有，□无</w:t>
            </w:r>
          </w:p>
        </w:tc>
      </w:tr>
      <w:tr>
        <w:trPr>
          <w:trHeight w:val="66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车辆型号</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营运证号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承运人责任险每人责任限额</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驾驶员</w:t>
            </w:r>
          </w:p>
        </w:tc>
        <w:tc>
          <w:tcPr>
            <w:tcW w:w="889"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姓名</w:t>
            </w:r>
          </w:p>
        </w:tc>
        <w:tc>
          <w:tcPr>
            <w:tcW w:w="1126"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身份证号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12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驾驶证号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从业资格证号</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姓名</w:t>
            </w:r>
          </w:p>
        </w:tc>
        <w:tc>
          <w:tcPr>
            <w:tcW w:w="1126"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身份证号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12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驾驶证号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从业资格证号</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包车费用（元）</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2"/>
                <w:szCs w:val="22"/>
              </w:rPr>
            </w:pPr>
            <w:r>
              <w:rPr>
                <w:rFonts w:ascii="仿宋_GB2312" w:hAnsi="仿宋_GB2312" w:cs="宋体;方正书宋_GBK" w:eastAsia="仿宋_GB2312"/>
                <w:kern w:val="0"/>
                <w:sz w:val="22"/>
                <w:szCs w:val="22"/>
              </w:rPr>
              <w:t>定金（元）</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超程或超时费</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付款方式</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付款时间</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864"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合同变更记录</w:t>
            </w:r>
          </w:p>
        </w:tc>
        <w:tc>
          <w:tcPr>
            <w:tcW w:w="6875" w:type="dxa"/>
            <w:gridSpan w:val="5"/>
            <w:tcBorders>
              <w:top w:val="single" w:sz="4" w:space="0" w:color="000000"/>
              <w:bottom w:val="single" w:sz="4" w:space="0" w:color="000000"/>
              <w:end w:val="single" w:sz="4" w:space="0" w:color="000000"/>
            </w:tcBorders>
            <w:vAlign w:val="center"/>
          </w:tcPr>
          <w:p>
            <w:pPr>
              <w:pStyle w:val="Normal"/>
              <w:widowControl/>
              <w:snapToGrid w:val="false"/>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r>
      <w:tr>
        <w:trPr>
          <w:trHeight w:val="834"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特别约定</w:t>
            </w:r>
          </w:p>
        </w:tc>
        <w:tc>
          <w:tcPr>
            <w:tcW w:w="6875" w:type="dxa"/>
            <w:gridSpan w:val="5"/>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1110" w:hRule="atLeast"/>
        </w:trPr>
        <w:tc>
          <w:tcPr>
            <w:tcW w:w="4278" w:type="dxa"/>
            <w:gridSpan w:val="4"/>
            <w:tcBorders>
              <w:top w:val="single" w:sz="4" w:space="0" w:color="000000"/>
              <w:start w:val="single" w:sz="4" w:space="0" w:color="000000"/>
              <w:end w:val="single" w:sz="4" w:space="0" w:color="000000"/>
            </w:tcBorders>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甲方（签章）</w:t>
            </w:r>
          </w:p>
        </w:tc>
        <w:tc>
          <w:tcPr>
            <w:tcW w:w="4286" w:type="dxa"/>
            <w:gridSpan w:val="3"/>
            <w:tcBorders>
              <w:top w:val="single" w:sz="4" w:space="0" w:color="000000"/>
              <w:end w:val="single" w:sz="4" w:space="0" w:color="000000"/>
            </w:tcBorders>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乙方（签章）</w:t>
            </w:r>
          </w:p>
        </w:tc>
      </w:tr>
      <w:tr>
        <w:trPr>
          <w:trHeight w:val="447" w:hRule="atLeast"/>
        </w:trPr>
        <w:tc>
          <w:tcPr>
            <w:tcW w:w="4278" w:type="dxa"/>
            <w:gridSpan w:val="4"/>
            <w:tcBorders>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签订日期：  年  月  日</w:t>
            </w:r>
          </w:p>
        </w:tc>
        <w:tc>
          <w:tcPr>
            <w:tcW w:w="1262" w:type="dxa"/>
            <w:tcBorders>
              <w:bottom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3024" w:type="dxa"/>
            <w:gridSpan w:val="2"/>
            <w:tcBorders>
              <w:bottom w:val="single" w:sz="4" w:space="0" w:color="000000"/>
              <w:end w:val="single" w:sz="4" w:space="0" w:color="000000"/>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签订日期：  年  月  日</w:t>
            </w:r>
          </w:p>
        </w:tc>
      </w:tr>
    </w:tbl>
    <w:p>
      <w:pPr>
        <w:pStyle w:val="Normal"/>
        <w:rPr>
          <w:rFonts w:ascii="仿宋_GB2312" w:hAnsi="仿宋_GB2312" w:eastAsia="仿宋_GB2312"/>
          <w:sz w:val="24"/>
        </w:rPr>
      </w:pPr>
      <w:r>
        <w:rPr>
          <w:rFonts w:eastAsia="仿宋_GB2312" w:ascii="仿宋_GB2312" w:hAnsi="仿宋_GB2312"/>
          <w:sz w:val="24"/>
        </w:rPr>
      </w:r>
    </w:p>
    <w:sectPr>
      <w:footerReference w:type="even" r:id="rId4"/>
      <w:footerReference w:type="default" r:id="rId5"/>
      <w:footerReference w:type="first" r:id="rId6"/>
      <w:type w:val="nextPage"/>
      <w:pgSz w:w="11906" w:h="16838"/>
      <w:pgMar w:left="1701" w:right="1701" w:gutter="0" w:header="0" w:top="1418" w:footer="720" w:bottom="1418"/>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w:altName w:val="Nimbus Roman No9 L"/>
    <w:charset w:val="00" w:characterSet="windows-1252"/>
    <w:family w:val="swiss"/>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宋体">
    <w:altName w:val="方正书宋_GBK"/>
    <w:charset w:val="86"/>
    <w:family w:val="auto"/>
    <w:pitch w:val="default"/>
  </w:font>
  <w:font w:name="方正小标宋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28"/>
        <w:szCs w:val="28"/>
      </w:rPr>
    </w:pPr>
    <w:r>
      <w:rPr>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6</w:t>
    </w:r>
    <w:r>
      <w:rPr>
        <w:sz w:val="28"/>
        <w:szCs w:val="28"/>
        <w:rFonts w:ascii="宋体;方正书宋_GBK" w:hAnsi="宋体;方正书宋_GBK" w:cs="宋体;方正书宋_GBK"/>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7</w:t>
    </w:r>
    <w:r>
      <w:rPr>
        <w:sz w:val="28"/>
        <w:szCs w:val="28"/>
        <w:rFonts w:ascii="宋体;方正书宋_GBK" w:hAnsi="宋体;方正书宋_GBK" w:cs="宋体;方正书宋_GBK"/>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2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PageNumber">
    <w:name w:val="page number"/>
    <w:basedOn w:val="Style14"/>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纯文本"/>
    <w:basedOn w:val="Normal"/>
    <w:qFormat/>
    <w:pPr/>
    <w:rPr>
      <w:rFonts w:ascii="宋体;方正书宋_GBK" w:hAnsi="宋体;方正书宋_GBK" w:eastAsia="宋体;方正书宋_GBK" w:cs="Courier New;DejaVu Sans"/>
      <w:sz w:val="21"/>
      <w:szCs w:val="21"/>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批注主题"/>
    <w:basedOn w:val="Style16"/>
    <w:next w:val="Style16"/>
    <w:qFormat/>
    <w:pPr/>
    <w:rPr>
      <w:b/>
      <w:bCs/>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9">
    <w:name w:val="CM19"/>
    <w:basedOn w:val="Default"/>
    <w:next w:val="Default"/>
    <w:qFormat/>
    <w:pPr/>
    <w:rPr>
      <w:sz w:val="24"/>
      <w:szCs w:val="24"/>
    </w:rPr>
  </w:style>
  <w:style w:type="paragraph" w:styleId="CM20">
    <w:name w:val="CM20"/>
    <w:basedOn w:val="Default"/>
    <w:next w:val="Default"/>
    <w:qFormat/>
    <w:pPr/>
    <w:rPr>
      <w:sz w:val="24"/>
      <w:szCs w:val="24"/>
    </w:rPr>
  </w:style>
  <w:style w:type="paragraph" w:styleId="CM1">
    <w:name w:val="CM1"/>
    <w:basedOn w:val="Default"/>
    <w:next w:val="Default"/>
    <w:qFormat/>
    <w:pPr/>
    <w:rPr>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2016-04-16T16:26:00Z</dcterms:created>
  <dc:creator>黄月梅</dc:creator>
  <dc:description/>
  <dc:language>zh-CN</dc:language>
  <cp:lastModifiedBy>jih</cp:lastModifiedBy>
  <cp:lastPrinted>2015-02-10T02:34:00Z</cp:lastPrinted>
  <dcterms:modified xsi:type="dcterms:W3CDTF">2022-01-21T21:57:26Z</dcterms:modified>
  <cp:revision>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