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9"/>
        <w:spacing w:before="0" w:after="345"/>
        <w:ind w:start="32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LF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2003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0105</w:t>
      </w:r>
    </w:p>
    <w:p>
      <w:pPr>
        <w:pStyle w:val="CM20"/>
        <w:spacing w:before="0" w:after="1450"/>
        <w:ind w:start="555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合同编号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: {合同编号}</w:t>
      </w:r>
    </w:p>
    <w:p>
      <w:pPr>
        <w:pStyle w:val="Normal"/>
        <w:jc w:val="start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;Nimbus Roman No9 L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rFonts w:ascii="方正小标宋_GBK" w:hAnsi="方正小标宋_GBK" w:eastAsia="方正小标宋_GBK" w:cs="方正小标宋_GBK"/>
          <w:color w:val="000000"/>
          <w:kern w:val="2"/>
          <w:sz w:val="40"/>
          <w:szCs w:val="40"/>
          <w:lang w:val="en-US" w:eastAsia="zh-CN" w:bidi="ar-SA"/>
        </w:rPr>
      </w:pPr>
      <w:r>
        <w:rPr>
          <w:rFonts w:ascii="方正小标宋_GBK" w:hAnsi="方正小标宋_GBK" w:cs="方正小标宋_GBK" w:eastAsia="方正小标宋_GBK"/>
          <w:color w:val="000000"/>
          <w:kern w:val="2"/>
          <w:sz w:val="40"/>
          <w:szCs w:val="40"/>
          <w:lang w:val="en-US" w:eastAsia="zh-CN" w:bidi="ar-SA"/>
        </w:rPr>
        <w:t>农作物种子生产合同</w:t>
      </w:r>
    </w:p>
    <w:p>
      <w:pPr>
        <w:pStyle w:val="Normal"/>
        <w:spacing w:before="0" w:after="2162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sz w:val="28"/>
          <w:szCs w:val="28"/>
          <w:lang w:val="en-US" w:eastAsia="zh-CN" w:bidi="ar-SA"/>
        </w:rPr>
        <w:t>（示范文本）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委托人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{委托人姓名}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受托人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{受托人姓名}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签订地点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 {签订地点}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签订时间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 xml:space="preserve">:         </w:t>
      </w: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{年}     {月}     {日}</w:t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 w:eastAsia="方正楷体_GBK" w:cs="方正楷体_GBK"/>
          <w:kern w:val="2"/>
          <w:sz w:val="40"/>
          <w:szCs w:val="24"/>
          <w:lang w:val="en-US" w:eastAsia="zh-CN" w:bidi="ar-SA"/>
        </w:rPr>
      </w:pPr>
      <w:r>
        <w:rPr>
          <w:rFonts w:eastAsia="方正楷体_GBK" w:cs="方正楷体_GBK" w:ascii="宋体;方正书宋_GBK" w:hAnsi="宋体;方正书宋_GBK"/>
          <w:kern w:val="2"/>
          <w:sz w:val="40"/>
          <w:szCs w:val="24"/>
          <w:lang w:val="en-US" w:eastAsia="zh-CN" w:bidi="ar-SA"/>
        </w:rPr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/>
          <w:sz w:val="40"/>
          <w:szCs w:val="24"/>
        </w:rPr>
      </w:pPr>
      <w:r>
        <w:rPr>
          <w:rFonts w:ascii="宋体;方正书宋_GBK" w:hAnsi="宋体;方正书宋_GBK"/>
          <w:sz w:val="40"/>
          <w:szCs w:val="24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{单位名称}</w:t>
      </w:r>
      <w:r/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辽宁省工商行政管理局</w:t>
      </w:r>
    </w:p>
    <w:p>
      <w:pPr>
        <w:pStyle w:val="Style15"/>
        <w:numPr>
          <w:ilvl w:val="0"/>
          <w:numId w:val="0"/>
        </w:numPr>
        <w:snapToGrid w:val="false"/>
        <w:spacing w:lineRule="exact" w:line="482"/>
        <w:ind w:end="105"/>
        <w:jc w:val="center"/>
        <w:outlineLvl w:val="1"/>
        <w:rPr>
          <w:rFonts w:ascii="楷体_GB2312;楷体" w:hAnsi="楷体_GB2312;楷体" w:eastAsia="楷体_GB2312;楷体" w:cs="宋体;方正书宋_GBK"/>
          <w:color w:val="000000"/>
          <w:sz w:val="32"/>
          <w:szCs w:val="32"/>
          <w:lang w:eastAsia="zh-CN"/>
        </w:rPr>
      </w:pP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  <w:lang w:eastAsia="zh-CN"/>
        </w:rPr>
        <w:t>二〇〇三年二</w:t>
      </w: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</w:rPr>
        <w:t>月</w:t>
      </w:r>
    </w:p>
    <w:p>
      <w:pPr>
        <w:pStyle w:val="CM19"/>
        <w:spacing w:lineRule="atLeast" w:line="623" w:before="0" w:after="345"/>
        <w:ind w:firstLine="475" w:start="1607" w:end="1232"/>
        <w:jc w:val="both"/>
        <w:rPr>
          <w:rFonts w:ascii="宋体;方正书宋_GBK" w:hAnsi="宋体;方正书宋_GBK" w:eastAsia="楷体_GB2312;楷体" w:cs="宋体;方正书宋_GBK"/>
          <w:color w:val="4E5045"/>
          <w:sz w:val="21"/>
          <w:szCs w:val="24"/>
          <w:lang w:eastAsia="zh-CN"/>
        </w:rPr>
      </w:pPr>
      <w:r>
        <w:rPr>
          <w:rFonts w:eastAsia="楷体_GB2312;楷体" w:cs="宋体;方正书宋_GBK" w:ascii="宋体;方正书宋_GBK" w:hAnsi="宋体;方正书宋_GBK"/>
          <w:color w:val="4E5045"/>
          <w:sz w:val="21"/>
          <w:szCs w:val="24"/>
          <w:lang w:eastAsia="zh-CN"/>
        </w:rPr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根据《中华人民共和国合同法》、《中华人民共和国种子法》和《辽宁省农作物种子管理条例》及有关法律、法规和规定，经双方协商一致，订立本合同。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第一条 {委托人提供生产种的种源数量及标准}</w:t>
      </w:r>
    </w:p>
    <w:tbl>
      <w:tblPr>
        <w:tblW w:w="9208" w:type="dxa"/>
        <w:jc w:val="start"/>
        <w:tblInd w:w="1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8"/>
        <w:gridCol w:w="958"/>
        <w:gridCol w:w="1507"/>
        <w:gridCol w:w="1147"/>
        <w:gridCol w:w="788"/>
        <w:gridCol w:w="933"/>
        <w:gridCol w:w="715"/>
        <w:gridCol w:w="970"/>
        <w:gridCol w:w="1392"/>
      </w:tblGrid>
      <w:tr>
        <w:trPr/>
        <w:tc>
          <w:tcPr>
            <w:tcW w:w="79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价格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（元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/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公斤）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数量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（公斤）</w:t>
            </w:r>
          </w:p>
        </w:tc>
        <w:tc>
          <w:tcPr>
            <w:tcW w:w="34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质量标准（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%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）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供种时间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（亲本）</w:t>
            </w:r>
          </w:p>
        </w:tc>
      </w:tr>
      <w:tr>
        <w:trPr/>
        <w:tc>
          <w:tcPr>
            <w:tcW w:w="79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纯度</w:t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净度</w:t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水分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发芽率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第二条 {生产数量及标准}</w:t>
      </w:r>
    </w:p>
    <w:tbl>
      <w:tblPr>
        <w:tblW w:w="9394" w:type="dxa"/>
        <w:jc w:val="start"/>
        <w:tblInd w:w="16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3"/>
        <w:gridCol w:w="727"/>
        <w:gridCol w:w="885"/>
        <w:gridCol w:w="1357"/>
        <w:gridCol w:w="776"/>
        <w:gridCol w:w="764"/>
        <w:gridCol w:w="836"/>
        <w:gridCol w:w="994"/>
        <w:gridCol w:w="1503"/>
        <w:gridCol w:w="849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面积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（亩）</w:t>
            </w:r>
          </w:p>
        </w:tc>
        <w:tc>
          <w:tcPr>
            <w:tcW w:w="135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预计产量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（万公斤）</w:t>
            </w:r>
          </w:p>
        </w:tc>
        <w:tc>
          <w:tcPr>
            <w:tcW w:w="337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质量标准（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%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）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收购价格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（元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/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公斤）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交种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时间</w:t>
            </w:r>
          </w:p>
        </w:tc>
      </w:tr>
      <w:tr>
        <w:trPr/>
        <w:tc>
          <w:tcPr>
            <w:tcW w:w="70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纯度</w:t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净度</w:t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水分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发芽率</w:t>
            </w:r>
          </w:p>
        </w:tc>
        <w:tc>
          <w:tcPr>
            <w:tcW w:w="150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Default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false"/>
        <w:bidi w:val="0"/>
        <w:snapToGrid w:val="true"/>
        <w:spacing w:lineRule="exact" w:line="420"/>
        <w:ind w:hanging="0" w:start="0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受托人对委托人提供的种源检验标准、时间及提出异议的期限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{检验标准和时间}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请提供需要修改的文本内容，我将根据要求进行处理。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第四条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委托人在种子生产期间负责委派技术人员，提供{农作物种子生产技术操作规程}（{</w:t>
      </w: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  <w:t>GB/T17314--17319 1998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}）及相关技术资料的时间、办法及保密要求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        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第五条 受托人发现委托人提供的技术资料、技术人员是不合理的，应在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{合理天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数1}日内向委托人提出书面异议，委托人应在收到书面异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议后的{合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理天数2}日内答复。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第六条 {受托人对其所生产的种子质量负责的期限及条件}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第七条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种子的包装要求及{费用负担}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第八条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{种子的检验标准}、{方法}、{地点}及{期限}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农作物种子田间生产档案的登记管理由双方同时进行。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种子田受灾严重减产或绝收时，双方应同时进行核查，以便双方重新协商确定合同收购种子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数量，并签订补充协议。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种子的交付方式及地点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种子款的结算方式及期限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合同有效期限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{起始日期}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至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{结束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期} 止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违约责任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委托人有偿提供的亲本种子因未达到国家质量检测标准，给受托人造成经济损失的，委托人应承担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委托人提供的《种子生产技术操作方案》有错误，或因生产技术指导失误，给受托人造成经济挂失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的，委托人应承担经济损失。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委托人无故放弃对种子田的生产技术指导，检查或无正当理由拒收所生产的合格种子，给受托人造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成经济损失的，委托人应承担经济损失。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受托人未按《农作物种子生产技术操作规程》和委托人提供的《种子生产技术操作方案》操作或未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按委托人技术人员的技术指导操作造成种子质量不合格的，受托人应承担经济损失。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受托人因私自留存或私自出售种子，给委托人造成经济损失的，受托人应承担经济损失。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合同争议的解决方式：本合同在履行过程中发生的争议，由双方当事人协商解决，也可由{解决方式}。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当地种子行政管理部门调解；协商或调解不成的，按下列第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{选择方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式}种方式解决：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提交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{仲裁}；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依法向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{人民法院} 起诉。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第十六条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{其它约定事项}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tbl>
      <w:tblPr>
        <w:tblpPr w:vertAnchor="text" w:horzAnchor="page" w:leftFromText="180" w:rightFromText="180" w:tblpX="903" w:tblpY="348"/>
        <w:tblOverlap w:val="never"/>
        <w:tblW w:w="103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9"/>
        <w:gridCol w:w="5131"/>
      </w:tblGrid>
      <w:tr>
        <w:trPr>
          <w:trHeight w:val="90" w:hRule="atLeast"/>
        </w:trPr>
        <w:tc>
          <w:tcPr>
            <w:tcW w:w="5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（章）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委托代理人：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身份证号码：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经办人：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  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5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受托人：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（章或签字）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委托代理人：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身份证号码：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经办人：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  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                                                                     </w:t>
      </w:r>
    </w:p>
    <w:sectPr>
      <w:type w:val="nextPage"/>
      <w:pgSz w:w="11906" w:h="16838"/>
      <w:pgMar w:left="900" w:right="900" w:gutter="0" w:header="0" w:top="140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方正书宋_GBK"/>
    <w:charset w:val="00" w:characterSet="windows-1252"/>
    <w:family w:val="auto"/>
    <w:pitch w:val="default"/>
  </w:font>
  <w:font w:name="Arial Unicode MS">
    <w:altName w:val="Nimbus Roman No9 L"/>
    <w:charset w:val="00" w:characterSet="windows-1252"/>
    <w:family w:val="swiss"/>
    <w:pitch w:val="default"/>
  </w:font>
  <w:font w:name="Arial">
    <w:altName w:val="Nimbus Roman No9 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楷体_GB2312">
    <w:altName w:val="楷体"/>
    <w:charset w:val="00" w:characterSet="windows-1252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9"/>
      <w:numFmt w:val="chineseCountingThousand"/>
      <w:suff w:val="space"/>
      <w:lvlText w:val="第%1条"/>
      <w:lvlJc w:val="start"/>
      <w:pPr>
        <w:tabs>
          <w:tab w:val="num" w:pos="0"/>
        </w:tabs>
        <w:ind w:start="440" w:hanging="0"/>
      </w:pPr>
      <w:rPr/>
    </w:lvl>
  </w:abstractNum>
  <w:abstractNum w:abstractNumId="4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/>
    <w:rPr>
      <w:rFonts w:ascii="宋体;方正书宋_GBK" w:hAnsi="宋体;方正书宋_GBK" w:eastAsia="宋体;方正书宋_GBK" w:cs="Courier New;DejaVu Sans"/>
      <w:sz w:val="21"/>
      <w:szCs w:val="21"/>
    </w:rPr>
  </w:style>
  <w:style w:type="paragraph" w:styleId="Style16">
    <w:name w:val="普通(网站)"/>
    <w:basedOn w:val="Normal"/>
    <w:qFormat/>
    <w:pPr>
      <w:widowControl/>
      <w:spacing w:lineRule="auto" w:line="360" w:before="100" w:after="100"/>
      <w:jc w:val="start"/>
    </w:pPr>
    <w:rPr>
      <w:rFonts w:ascii="Arial Unicode MS;Nimbus Roman No9 L" w:hAnsi="Arial Unicode MS;Nimbus Roman No9 L" w:eastAsia="Arial Unicode MS;Nimbus Roman No9 L" w:cs="Arial Unicode MS;Nimbus Roman No9 L"/>
      <w:color w:val="000000"/>
      <w:kern w:val="0"/>
      <w:sz w:val="18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Arial;Nimbus Roman No9 L" w:hAnsi="Arial;Nimbus Roman No9 L" w:eastAsia="宋体;方正书宋_GBK" w:cs="Arial;Nimbus Roman No9 L"/>
      <w:color w:val="000000"/>
      <w:sz w:val="24"/>
      <w:szCs w:val="24"/>
      <w:lang w:val="en-US" w:eastAsia="zh-CN" w:bidi="hi-IN"/>
    </w:rPr>
  </w:style>
  <w:style w:type="paragraph" w:styleId="CM10">
    <w:name w:val="CM10"/>
    <w:basedOn w:val="Default"/>
    <w:next w:val="Default"/>
    <w:qFormat/>
    <w:pPr/>
    <w:rPr>
      <w:sz w:val="24"/>
      <w:szCs w:val="24"/>
    </w:rPr>
  </w:style>
  <w:style w:type="paragraph" w:styleId="CM7">
    <w:name w:val="CM7"/>
    <w:basedOn w:val="Default"/>
    <w:next w:val="Default"/>
    <w:qFormat/>
    <w:pPr>
      <w:spacing w:lineRule="atLeast" w:line="646"/>
    </w:pPr>
    <w:rPr>
      <w:sz w:val="24"/>
      <w:szCs w:val="24"/>
    </w:rPr>
  </w:style>
  <w:style w:type="paragraph" w:styleId="CM27">
    <w:name w:val="CM27"/>
    <w:basedOn w:val="Default"/>
    <w:next w:val="Default"/>
    <w:qFormat/>
    <w:pPr/>
    <w:rPr>
      <w:sz w:val="24"/>
      <w:szCs w:val="24"/>
    </w:rPr>
  </w:style>
  <w:style w:type="paragraph" w:styleId="CM24">
    <w:name w:val="CM24"/>
    <w:basedOn w:val="Default"/>
    <w:next w:val="Default"/>
    <w:qFormat/>
    <w:pPr/>
    <w:rPr>
      <w:sz w:val="24"/>
      <w:szCs w:val="24"/>
    </w:rPr>
  </w:style>
  <w:style w:type="paragraph" w:styleId="CM23">
    <w:name w:val="CM23"/>
    <w:basedOn w:val="Default"/>
    <w:next w:val="Default"/>
    <w:qFormat/>
    <w:pPr/>
    <w:rPr>
      <w:sz w:val="24"/>
      <w:szCs w:val="24"/>
    </w:rPr>
  </w:style>
  <w:style w:type="paragraph" w:styleId="CM26">
    <w:name w:val="CM26"/>
    <w:basedOn w:val="Default"/>
    <w:next w:val="Default"/>
    <w:qFormat/>
    <w:pPr/>
    <w:rPr>
      <w:sz w:val="24"/>
      <w:szCs w:val="24"/>
    </w:rPr>
  </w:style>
  <w:style w:type="paragraph" w:styleId="CM28">
    <w:name w:val="CM28"/>
    <w:basedOn w:val="Default"/>
    <w:next w:val="Default"/>
    <w:qFormat/>
    <w:pPr/>
    <w:rPr>
      <w:sz w:val="24"/>
      <w:szCs w:val="24"/>
    </w:rPr>
  </w:style>
  <w:style w:type="paragraph" w:styleId="CM8">
    <w:name w:val="CM8"/>
    <w:basedOn w:val="Default"/>
    <w:next w:val="Default"/>
    <w:qFormat/>
    <w:pPr/>
    <w:rPr>
      <w:sz w:val="24"/>
      <w:szCs w:val="24"/>
    </w:rPr>
  </w:style>
  <w:style w:type="paragraph" w:styleId="CM30">
    <w:name w:val="CM30"/>
    <w:basedOn w:val="Default"/>
    <w:next w:val="Default"/>
    <w:qFormat/>
    <w:pPr/>
    <w:rPr>
      <w:sz w:val="24"/>
      <w:szCs w:val="24"/>
    </w:rPr>
  </w:style>
  <w:style w:type="paragraph" w:styleId="CM9">
    <w:name w:val="CM9"/>
    <w:basedOn w:val="Default"/>
    <w:next w:val="Default"/>
    <w:qFormat/>
    <w:pPr/>
    <w:rPr>
      <w:sz w:val="24"/>
      <w:szCs w:val="24"/>
    </w:rPr>
  </w:style>
  <w:style w:type="paragraph" w:styleId="CM18">
    <w:name w:val="CM18"/>
    <w:basedOn w:val="Default"/>
    <w:next w:val="Default"/>
    <w:qFormat/>
    <w:pPr/>
    <w:rPr>
      <w:sz w:val="24"/>
      <w:szCs w:val="24"/>
    </w:rPr>
  </w:style>
  <w:style w:type="paragraph" w:styleId="CM2">
    <w:name w:val="CM2"/>
    <w:basedOn w:val="Default"/>
    <w:next w:val="Default"/>
    <w:qFormat/>
    <w:pPr/>
    <w:rPr>
      <w:sz w:val="24"/>
      <w:szCs w:val="24"/>
    </w:rPr>
  </w:style>
  <w:style w:type="paragraph" w:styleId="CM21">
    <w:name w:val="CM21"/>
    <w:basedOn w:val="Default"/>
    <w:next w:val="Default"/>
    <w:qFormat/>
    <w:pPr/>
    <w:rPr>
      <w:sz w:val="24"/>
      <w:szCs w:val="24"/>
    </w:rPr>
  </w:style>
  <w:style w:type="paragraph" w:styleId="CM1">
    <w:name w:val="CM1"/>
    <w:basedOn w:val="Default"/>
    <w:next w:val="Default"/>
    <w:qFormat/>
    <w:pPr/>
    <w:rPr>
      <w:sz w:val="24"/>
      <w:szCs w:val="24"/>
    </w:rPr>
  </w:style>
  <w:style w:type="paragraph" w:styleId="CM12">
    <w:name w:val="CM12"/>
    <w:basedOn w:val="Default"/>
    <w:next w:val="Default"/>
    <w:qFormat/>
    <w:pPr/>
    <w:rPr>
      <w:sz w:val="24"/>
      <w:szCs w:val="24"/>
    </w:rPr>
  </w:style>
  <w:style w:type="paragraph" w:styleId="CM25">
    <w:name w:val="CM25"/>
    <w:basedOn w:val="Default"/>
    <w:next w:val="Default"/>
    <w:qFormat/>
    <w:pPr/>
    <w:rPr>
      <w:sz w:val="24"/>
      <w:szCs w:val="24"/>
    </w:rPr>
  </w:style>
  <w:style w:type="paragraph" w:styleId="CM6">
    <w:name w:val="CM6"/>
    <w:basedOn w:val="Default"/>
    <w:next w:val="Default"/>
    <w:qFormat/>
    <w:pPr/>
    <w:rPr>
      <w:sz w:val="24"/>
      <w:szCs w:val="24"/>
    </w:rPr>
  </w:style>
  <w:style w:type="paragraph" w:styleId="CM17">
    <w:name w:val="CM17"/>
    <w:basedOn w:val="Default"/>
    <w:next w:val="Default"/>
    <w:qFormat/>
    <w:pPr/>
    <w:rPr>
      <w:sz w:val="24"/>
      <w:szCs w:val="24"/>
    </w:rPr>
  </w:style>
  <w:style w:type="paragraph" w:styleId="CM13">
    <w:name w:val="CM13"/>
    <w:basedOn w:val="Default"/>
    <w:next w:val="Default"/>
    <w:qFormat/>
    <w:pPr>
      <w:spacing w:lineRule="atLeast" w:line="448"/>
    </w:pPr>
    <w:rPr>
      <w:sz w:val="24"/>
      <w:szCs w:val="24"/>
    </w:rPr>
  </w:style>
  <w:style w:type="paragraph" w:styleId="CM5">
    <w:name w:val="CM5"/>
    <w:basedOn w:val="Default"/>
    <w:next w:val="Default"/>
    <w:qFormat/>
    <w:pPr/>
    <w:rPr>
      <w:sz w:val="24"/>
      <w:szCs w:val="24"/>
    </w:rPr>
  </w:style>
  <w:style w:type="paragraph" w:styleId="CM22">
    <w:name w:val="CM22"/>
    <w:basedOn w:val="Default"/>
    <w:next w:val="Default"/>
    <w:qFormat/>
    <w:pPr/>
    <w:rPr>
      <w:sz w:val="24"/>
      <w:szCs w:val="24"/>
    </w:rPr>
  </w:style>
  <w:style w:type="paragraph" w:styleId="CM14">
    <w:name w:val="CM14"/>
    <w:basedOn w:val="Default"/>
    <w:next w:val="Default"/>
    <w:qFormat/>
    <w:pPr>
      <w:spacing w:lineRule="atLeast" w:line="451"/>
    </w:pPr>
    <w:rPr>
      <w:sz w:val="24"/>
      <w:szCs w:val="24"/>
    </w:rPr>
  </w:style>
  <w:style w:type="paragraph" w:styleId="CM15">
    <w:name w:val="CM15"/>
    <w:basedOn w:val="Default"/>
    <w:next w:val="Default"/>
    <w:qFormat/>
    <w:pPr/>
    <w:rPr>
      <w:sz w:val="24"/>
      <w:szCs w:val="24"/>
    </w:rPr>
  </w:style>
  <w:style w:type="paragraph" w:styleId="CM16">
    <w:name w:val="CM16"/>
    <w:basedOn w:val="Default"/>
    <w:next w:val="Default"/>
    <w:qFormat/>
    <w:pPr/>
    <w:rPr>
      <w:sz w:val="24"/>
      <w:szCs w:val="24"/>
    </w:rPr>
  </w:style>
  <w:style w:type="paragraph" w:styleId="CM4">
    <w:name w:val="CM4"/>
    <w:basedOn w:val="Default"/>
    <w:next w:val="Default"/>
    <w:qFormat/>
    <w:pPr>
      <w:spacing w:lineRule="atLeast" w:line="631"/>
    </w:pPr>
    <w:rPr>
      <w:sz w:val="24"/>
      <w:szCs w:val="24"/>
    </w:rPr>
  </w:style>
  <w:style w:type="paragraph" w:styleId="CM20">
    <w:name w:val="CM20"/>
    <w:basedOn w:val="Default"/>
    <w:next w:val="Default"/>
    <w:qFormat/>
    <w:pPr/>
    <w:rPr>
      <w:sz w:val="24"/>
      <w:szCs w:val="24"/>
    </w:rPr>
  </w:style>
  <w:style w:type="paragraph" w:styleId="CM11">
    <w:name w:val="CM11"/>
    <w:basedOn w:val="Default"/>
    <w:next w:val="Default"/>
    <w:qFormat/>
    <w:pPr/>
    <w:rPr>
      <w:sz w:val="24"/>
      <w:szCs w:val="24"/>
    </w:rPr>
  </w:style>
  <w:style w:type="paragraph" w:styleId="CM3">
    <w:name w:val="CM3"/>
    <w:basedOn w:val="Default"/>
    <w:next w:val="Default"/>
    <w:qFormat/>
    <w:pPr/>
    <w:rPr>
      <w:sz w:val="24"/>
      <w:szCs w:val="24"/>
    </w:rPr>
  </w:style>
  <w:style w:type="paragraph" w:styleId="CM29">
    <w:name w:val="CM29"/>
    <w:basedOn w:val="Default"/>
    <w:next w:val="Default"/>
    <w:qFormat/>
    <w:pPr/>
    <w:rPr>
      <w:sz w:val="24"/>
      <w:szCs w:val="24"/>
    </w:rPr>
  </w:style>
  <w:style w:type="paragraph" w:styleId="CM19">
    <w:name w:val="CM19"/>
    <w:basedOn w:val="Default"/>
    <w:next w:val="Default"/>
    <w:qFormat/>
    <w:pPr/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15360</TotalTime>
  <Application>LibreOffice/25.2.2.2$MacOSX_AARCH64 LibreOffice_project/7370d4be9e3cf6031a51beef54ff3bda878e3fac</Application>
  <AppVersion>15.0000</AppVersion>
  <Pages>3</Pages>
  <Words>1103</Words>
  <Characters>1132</Characters>
  <CharactersWithSpaces>2998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2022-01-19T06:44:34Z</dcterms:created>
  <dc:creator>jih</dc:creator>
  <dc:description/>
  <dc:language>zh-CN</dc:language>
  <cp:lastModifiedBy>jih</cp:lastModifiedBy>
  <dcterms:modified xsi:type="dcterms:W3CDTF">2022-01-19T19:05:40Z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