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pacing w:lineRule="exact" w:line="560"/>
        <w:jc w:val="start"/>
        <w:rPr>
          <w:rFonts w:ascii="Times New Roman" w:hAnsi="Times New Roman" w:eastAsia="仿宋_GB2312;仿宋" w:cs="Times New Roman"/>
          <w:b/>
          <w:color w:val="1D2824"/>
          <w:sz w:val="28"/>
          <w:szCs w:val="28"/>
          <w:lang w:val="zh-CN"/>
        </w:rPr>
      </w:pPr>
      <w:r>
        <w:rPr>
          <w:rFonts w:eastAsia="仿宋_GB2312;仿宋" w:cs="Times New Roman" w:ascii="Times New Roman" w:hAnsi="Times New Roman"/>
          <w:b/>
          <w:color w:val="1D2824"/>
          <w:sz w:val="28"/>
          <w:szCs w:val="28"/>
          <w:lang w:val="zh-CN"/>
        </w:rPr>
      </w:r>
    </w:p>
    <w:p>
      <w:pPr>
        <w:pStyle w:val="Normal"/>
        <w:widowControl/>
        <w:spacing w:lineRule="exact" w:line="560"/>
        <w:jc w:val="start"/>
        <w:rPr>
          <w:rFonts w:ascii="Times New Roman" w:hAnsi="Times New Roman" w:eastAsia="楷体_GB2312;楷体" w:cs="Times New Roman"/>
          <w:bCs/>
          <w:sz w:val="28"/>
          <w:szCs w:val="28"/>
        </w:rPr>
      </w:pPr>
      <w:r>
        <w:rPr>
          <w:rFonts w:eastAsia="仿宋_GB2312;仿宋" w:cs="Times New Roman" w:ascii="Times New Roman" w:hAnsi="Times New Roman"/>
          <w:b/>
          <w:color w:val="1D2824"/>
          <w:sz w:val="28"/>
          <w:szCs w:val="28"/>
          <w:lang w:val="zh-CN"/>
        </w:rPr>
        <w:t>BTHF-2019-0301</w:t>
      </w:r>
      <w:r>
        <w:rPr>
          <w:rFonts w:eastAsia="楷体_GB2312;楷体" w:cs="Times New Roman" w:ascii="Times New Roman" w:hAnsi="Times New Roman"/>
          <w:bCs/>
          <w:sz w:val="28"/>
          <w:szCs w:val="28"/>
        </w:rPr>
        <w:t xml:space="preserve">                            </w:t>
      </w:r>
      <w:r>
        <w:rPr>
          <w:rFonts w:ascii="Times New Roman" w:hAnsi="Times New Roman" w:cs="Times New Roman" w:eastAsia="楷体_GB2312;楷体"/>
          <w:bCs/>
          <w:sz w:val="28"/>
          <w:szCs w:val="28"/>
        </w:rPr>
        <w:t>{合同编</w:t>
      </w:r>
      <w:r>
        <w:rPr>
          <w:rFonts w:ascii="Times New Roman" w:hAnsi="Times New Roman" w:cs="Times New Roman" w:eastAsia="Times New Roman"/>
          <w:bCs/>
          <w:sz w:val="28"/>
          <w:szCs w:val="28"/>
          <w:u w:val="single"/>
        </w:rPr>
        <w:t>号}</w:t>
      </w:r>
    </w:p>
    <w:p>
      <w:pPr>
        <w:pStyle w:val="Normal"/>
        <w:snapToGrid w:val="false"/>
        <w:ind w:firstLine="567" w:end="0"/>
        <w:rPr>
          <w:rFonts w:ascii="Times New Roman" w:hAnsi="Times New Roman" w:eastAsia="楷体_GB2312;楷体" w:cs="Times New Roman"/>
          <w:bCs/>
          <w:sz w:val="28"/>
          <w:szCs w:val="24"/>
        </w:rPr>
      </w:pPr>
      <w:r>
        <w:rPr>
          <w:rFonts w:eastAsia="楷体_GB2312;楷体" w:cs="Times New Roman" w:ascii="Times New Roman" w:hAnsi="Times New Roman"/>
          <w:bCs/>
          <w:sz w:val="28"/>
          <w:szCs w:val="24"/>
        </w:rPr>
      </w:r>
    </w:p>
    <w:p>
      <w:pPr>
        <w:pStyle w:val="Normal"/>
        <w:snapToGrid w:val="false"/>
        <w:jc w:val="center"/>
        <w:rPr>
          <w:rFonts w:ascii="方正小标宋_GBK" w:hAnsi="方正小标宋_GBK" w:eastAsia="方正小标宋_GBK" w:cs="方正小标宋_GBK"/>
          <w:b/>
          <w:sz w:val="40"/>
          <w:szCs w:val="40"/>
        </w:rPr>
      </w:pPr>
      <w:r>
        <w:rPr>
          <w:rFonts w:eastAsia="方正小标宋_GBK" w:cs="方正小标宋_GBK" w:ascii="方正小标宋_GBK" w:hAnsi="方正小标宋_GBK"/>
          <w:b/>
          <w:sz w:val="40"/>
          <w:szCs w:val="40"/>
        </w:rPr>
      </w:r>
    </w:p>
    <w:p>
      <w:pPr>
        <w:pStyle w:val="Normal"/>
        <w:snapToGrid w:val="false"/>
        <w:jc w:val="center"/>
        <w:rPr>
          <w:rFonts w:ascii="方正小标宋_GBK" w:hAnsi="方正小标宋_GBK" w:eastAsia="方正小标宋_GBK" w:cs="方正小标宋_GBK"/>
          <w:b/>
          <w:sz w:val="40"/>
          <w:szCs w:val="40"/>
        </w:rPr>
      </w:pPr>
      <w:r>
        <w:rPr>
          <w:rFonts w:eastAsia="方正小标宋_GBK" w:cs="方正小标宋_GBK" w:ascii="方正小标宋_GBK" w:hAnsi="方正小标宋_GBK"/>
          <w:b/>
          <w:sz w:val="40"/>
          <w:szCs w:val="40"/>
        </w:rPr>
      </w:r>
    </w:p>
    <w:p>
      <w:pPr>
        <w:pStyle w:val="Normal"/>
        <w:snapToGrid w:val="false"/>
        <w:jc w:val="center"/>
        <w:rPr>
          <w:rFonts w:ascii="方正小标宋_GBK" w:hAnsi="方正小标宋_GBK" w:eastAsia="方正小标宋_GBK" w:cs="方正小标宋_GBK"/>
          <w:b/>
          <w:sz w:val="40"/>
          <w:szCs w:val="40"/>
        </w:rPr>
      </w:pPr>
      <w:r>
        <w:rPr>
          <w:rFonts w:ascii="方正小标宋_GBK" w:hAnsi="方正小标宋_GBK" w:cs="方正小标宋_GBK" w:eastAsia="方正小标宋_GBK"/>
          <w:b/>
          <w:sz w:val="40"/>
          <w:szCs w:val="40"/>
        </w:rPr>
        <w:t>京津冀地区电子产品维修服务合同</w:t>
      </w:r>
    </w:p>
    <w:p>
      <w:pPr>
        <w:pStyle w:val="Normal"/>
        <w:snapToGrid w:val="false"/>
        <w:jc w:val="center"/>
        <w:rPr>
          <w:rFonts w:ascii="方正楷体_GBK" w:hAnsi="方正楷体_GBK" w:eastAsia="方正楷体_GBK" w:cs="方正楷体_GBK"/>
          <w:b/>
          <w:sz w:val="28"/>
          <w:szCs w:val="28"/>
        </w:rPr>
      </w:pPr>
      <w:r>
        <w:rPr>
          <w:rFonts w:ascii="方正楷体_GBK" w:hAnsi="方正楷体_GBK" w:cs="方正楷体_GBK" w:eastAsia="方正楷体_GBK"/>
          <w:b/>
          <w:sz w:val="28"/>
          <w:szCs w:val="28"/>
        </w:rPr>
        <w:t>（不适用三包期内）</w:t>
      </w:r>
    </w:p>
    <w:p>
      <w:pPr>
        <w:pStyle w:val="Normal"/>
        <w:spacing w:lineRule="exact" w:line="240"/>
        <w:ind w:firstLine="482" w:end="0"/>
        <w:rPr>
          <w:rFonts w:ascii="Times New Roman" w:hAnsi="Times New Roman" w:eastAsia="仿宋_GB2312;仿宋" w:cs="Times New Roman"/>
          <w:b/>
          <w:sz w:val="28"/>
          <w:szCs w:val="21"/>
        </w:rPr>
      </w:pPr>
      <w:r>
        <w:rPr>
          <w:rFonts w:eastAsia="仿宋_GB2312;仿宋" w:cs="Times New Roman" w:ascii="Times New Roman" w:hAnsi="Times New Roman"/>
          <w:b/>
          <w:sz w:val="28"/>
          <w:szCs w:val="21"/>
        </w:rPr>
      </w:r>
    </w:p>
    <w:p>
      <w:pPr>
        <w:pStyle w:val="Normal"/>
        <w:keepNext w:val="false"/>
        <w:keepLines w:val="false"/>
        <w:pageBreakBefore w:val="false"/>
        <w:widowControl w:val="false"/>
        <w:kinsoku w:val="true"/>
        <w:overflowPunct w:val="true"/>
        <w:autoSpaceDE w:val="true"/>
        <w:bidi w:val="0"/>
        <w:snapToGrid w:val="true"/>
        <w:spacing w:lineRule="exact" w:line="420"/>
        <w:ind w:firstLine="56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一、基本信息：</w:t>
      </w:r>
    </w:p>
    <w:tbl>
      <w:tblPr>
        <w:tblW w:w="9073" w:type="dxa"/>
        <w:jc w:val="start"/>
        <w:tblInd w:w="0" w:type="dxa"/>
        <w:tblLayout w:type="fixed"/>
        <w:tblCellMar>
          <w:top w:w="0" w:type="dxa"/>
          <w:start w:w="108" w:type="dxa"/>
          <w:bottom w:w="0" w:type="dxa"/>
          <w:end w:w="108" w:type="dxa"/>
        </w:tblCellMar>
      </w:tblPr>
      <w:tblGrid>
        <w:gridCol w:w="1277"/>
        <w:gridCol w:w="1559"/>
        <w:gridCol w:w="850"/>
        <w:gridCol w:w="1276"/>
        <w:gridCol w:w="1418"/>
        <w:gridCol w:w="2693"/>
      </w:tblGrid>
      <w:tr>
        <w:trPr>
          <w:trHeight w:val="431" w:hRule="atLeast"/>
        </w:trPr>
        <w:tc>
          <w:tcPr>
            <w:tcW w:w="12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pacing w:lineRule="exact" w:line="420"/>
              <w:ind w:end="108"/>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sz w:val="18"/>
                <w:szCs w:val="18"/>
              </w:rPr>
              <w:t>品  牌</w:t>
            </w:r>
          </w:p>
        </w:tc>
        <w:tc>
          <w:tcPr>
            <w:tcW w:w="155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end="108"/>
              <w:textAlignment w:val="auto"/>
              <w:rPr>
                <w:rFonts w:ascii="方正书宋_GBK" w:hAnsi="方正书宋_GBK" w:eastAsia="方正书宋_GBK" w:cs="方正书宋_GBK"/>
                <w:b/>
                <w:sz w:val="18"/>
                <w:szCs w:val="18"/>
              </w:rPr>
            </w:pPr>
            <w:r>
              <w:rPr>
                <w:rFonts w:eastAsia="方正书宋_GBK" w:cs="方正书宋_GBK" w:ascii="方正书宋_GBK" w:hAnsi="方正书宋_GBK"/>
                <w:b/>
                <w:sz w:val="18"/>
                <w:szCs w:val="18"/>
              </w:rPr>
            </w:r>
          </w:p>
        </w:tc>
        <w:tc>
          <w:tcPr>
            <w:tcW w:w="85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pacing w:lineRule="exact" w:line="420"/>
              <w:ind w:end="108"/>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型号</w:t>
            </w:r>
          </w:p>
        </w:tc>
        <w:tc>
          <w:tcPr>
            <w:tcW w:w="127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end="108"/>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41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pacing w:lineRule="exact" w:line="420"/>
              <w:ind w:end="108"/>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主机序列号</w:t>
            </w:r>
          </w:p>
        </w:tc>
        <w:tc>
          <w:tcPr>
            <w:tcW w:w="269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end="108"/>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431" w:hRule="atLeast"/>
        </w:trPr>
        <w:tc>
          <w:tcPr>
            <w:tcW w:w="12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pacing w:lineRule="exact" w:line="420"/>
              <w:ind w:end="108"/>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sz w:val="18"/>
                <w:szCs w:val="18"/>
              </w:rPr>
              <w:t>附  件</w:t>
            </w:r>
          </w:p>
        </w:tc>
        <w:tc>
          <w:tcPr>
            <w:tcW w:w="7796" w:type="dxa"/>
            <w:gridSpan w:val="5"/>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pacing w:lineRule="exact" w:line="420"/>
              <w:ind w:end="108"/>
              <w:textAlignment w:val="auto"/>
              <w:rPr>
                <w:rFonts w:ascii="方正书宋_GBK" w:hAnsi="方正书宋_GBK" w:eastAsia="方正书宋_GBK" w:cs="方正书宋_GBK"/>
                <w:sz w:val="18"/>
                <w:szCs w:val="18"/>
                <w:u w:val="single"/>
              </w:rPr>
            </w:pPr>
            <w:r>
              <w:rPr>
                <w:rFonts w:ascii="方正书宋_GBK" w:hAnsi="方正书宋_GBK" w:cs="方正书宋_GBK" w:eastAsia="方正书宋_GBK"/>
                <w:sz w:val="18"/>
                <w:szCs w:val="18"/>
              </w:rPr>
              <w:t>□</w:t>
            </w:r>
            <w:r>
              <w:rPr>
                <w:rFonts w:ascii="方正书宋_GBK" w:hAnsi="方正书宋_GBK" w:cs="方正书宋_GBK" w:eastAsia="方正书宋_GBK"/>
                <w:sz w:val="18"/>
                <w:szCs w:val="18"/>
              </w:rPr>
              <w:t>电池  □充电</w:t>
            </w:r>
            <w:r>
              <w:rPr>
                <w:rFonts w:ascii="方正书宋_GBK" w:hAnsi="方正书宋_GBK" w:cs="方正书宋_GBK" w:eastAsia="方正书宋_GBK"/>
                <w:spacing w:val="-30"/>
                <w:sz w:val="18"/>
                <w:szCs w:val="18"/>
              </w:rPr>
              <w:t>器（线）</w:t>
            </w:r>
            <w:r>
              <w:rPr>
                <w:rFonts w:ascii="方正书宋_GBK" w:hAnsi="方正书宋_GBK" w:cs="方正书宋_GBK" w:eastAsia="方正书宋_GBK"/>
                <w:sz w:val="18"/>
                <w:szCs w:val="18"/>
              </w:rPr>
              <w:t xml:space="preserve">  □遥控器  □耳机  □储存卡  □</w:t>
            </w:r>
            <w:r>
              <w:rPr>
                <w:rFonts w:ascii="方正书宋_GBK" w:hAnsi="方正书宋_GBK" w:cs="方正书宋_GBK" w:eastAsia="方正书宋_GBK"/>
                <w:sz w:val="18"/>
                <w:szCs w:val="18"/>
                <w:u w:val="single"/>
              </w:rPr>
              <w:t xml:space="preserve">                   </w:t>
            </w:r>
          </w:p>
        </w:tc>
      </w:tr>
      <w:tr>
        <w:trPr>
          <w:trHeight w:val="431" w:hRule="atLeast"/>
        </w:trPr>
        <w:tc>
          <w:tcPr>
            <w:tcW w:w="12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pacing w:lineRule="exact" w:line="420"/>
              <w:ind w:end="108"/>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外观情况</w:t>
            </w:r>
          </w:p>
        </w:tc>
        <w:tc>
          <w:tcPr>
            <w:tcW w:w="7796" w:type="dxa"/>
            <w:gridSpan w:val="5"/>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end="108"/>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bl>
    <w:p>
      <w:pPr>
        <w:pStyle w:val="Normal"/>
        <w:keepNext w:val="false"/>
        <w:keepLines w:val="false"/>
        <w:pageBreakBefore w:val="false"/>
        <w:widowControl w:val="false"/>
        <w:kinsoku w:val="true"/>
        <w:overflowPunct w:val="true"/>
        <w:autoSpaceDE w:val="true"/>
        <w:bidi w:val="0"/>
        <w:snapToGrid w:val="true"/>
        <w:spacing w:lineRule="exact" w:line="420"/>
        <w:ind w:firstLine="56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二、{维修内容}、{期限}、{费用}、{支付方式}、{保修}：</w:t>
      </w:r>
    </w:p>
    <w:tbl>
      <w:tblPr>
        <w:tblW w:w="9073" w:type="dxa"/>
        <w:jc w:val="start"/>
        <w:tblInd w:w="0" w:type="dxa"/>
        <w:tblLayout w:type="fixed"/>
        <w:tblCellMar>
          <w:top w:w="0" w:type="dxa"/>
          <w:start w:w="108" w:type="dxa"/>
          <w:bottom w:w="0" w:type="dxa"/>
          <w:end w:w="108" w:type="dxa"/>
        </w:tblCellMar>
      </w:tblPr>
      <w:tblGrid>
        <w:gridCol w:w="1277"/>
        <w:gridCol w:w="7796"/>
      </w:tblGrid>
      <w:tr>
        <w:trPr>
          <w:trHeight w:val="451" w:hRule="exact"/>
        </w:trPr>
        <w:tc>
          <w:tcPr>
            <w:tcW w:w="12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pacing w:lineRule="exact" w:line="420"/>
              <w:ind w:end="105"/>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故障现象</w:t>
            </w:r>
          </w:p>
        </w:tc>
        <w:tc>
          <w:tcPr>
            <w:tcW w:w="779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end="105"/>
              <w:textAlignment w:val="auto"/>
              <w:rPr>
                <w:rFonts w:ascii="方正书宋_GBK" w:hAnsi="方正书宋_GBK" w:eastAsia="方正书宋_GBK" w:cs="方正书宋_GBK"/>
                <w:b/>
                <w:sz w:val="18"/>
                <w:szCs w:val="18"/>
              </w:rPr>
            </w:pPr>
            <w:r>
              <w:rPr>
                <w:rFonts w:eastAsia="方正书宋_GBK" w:cs="方正书宋_GBK" w:ascii="方正书宋_GBK" w:hAnsi="方正书宋_GBK"/>
                <w:b/>
                <w:sz w:val="18"/>
                <w:szCs w:val="18"/>
              </w:rPr>
            </w:r>
          </w:p>
        </w:tc>
      </w:tr>
      <w:tr>
        <w:trPr>
          <w:trHeight w:val="551" w:hRule="atLeast"/>
        </w:trPr>
        <w:tc>
          <w:tcPr>
            <w:tcW w:w="12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pacing w:lineRule="exact" w:line="420"/>
              <w:ind w:end="105"/>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维修要求及标准</w:t>
            </w:r>
          </w:p>
        </w:tc>
        <w:tc>
          <w:tcPr>
            <w:tcW w:w="779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end="105"/>
              <w:textAlignment w:val="auto"/>
              <w:rPr>
                <w:rFonts w:ascii="方正书宋_GBK" w:hAnsi="方正书宋_GBK" w:eastAsia="方正书宋_GBK" w:cs="方正书宋_GBK"/>
                <w:b/>
                <w:sz w:val="18"/>
                <w:szCs w:val="18"/>
              </w:rPr>
            </w:pPr>
            <w:r>
              <w:rPr>
                <w:rFonts w:eastAsia="方正书宋_GBK" w:cs="方正书宋_GBK" w:ascii="方正书宋_GBK" w:hAnsi="方正书宋_GBK"/>
                <w:b/>
                <w:sz w:val="18"/>
                <w:szCs w:val="18"/>
              </w:rPr>
            </w:r>
          </w:p>
        </w:tc>
      </w:tr>
      <w:tr>
        <w:trPr>
          <w:trHeight w:val="381" w:hRule="exact"/>
        </w:trPr>
        <w:tc>
          <w:tcPr>
            <w:tcW w:w="12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维修期限</w:t>
            </w:r>
          </w:p>
        </w:tc>
        <w:tc>
          <w:tcPr>
            <w:tcW w:w="779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pacing w:lineRule="exact" w:line="420"/>
              <w:ind w:end="105"/>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u w:val="single"/>
              </w:rPr>
              <w:t xml:space="preserve">        </w:t>
            </w:r>
            <w:r>
              <w:rPr>
                <w:rFonts w:ascii="方正书宋_GBK" w:hAnsi="方正书宋_GBK" w:cs="方正书宋_GBK" w:eastAsia="方正书宋_GBK"/>
                <w:sz w:val="18"/>
                <w:szCs w:val="18"/>
              </w:rPr>
              <w:t>年</w:t>
            </w:r>
            <w:r>
              <w:rPr>
                <w:rFonts w:ascii="方正书宋_GBK" w:hAnsi="方正书宋_GBK" w:cs="方正书宋_GBK" w:eastAsia="方正书宋_GBK"/>
                <w:sz w:val="18"/>
                <w:szCs w:val="18"/>
                <w:u w:val="single"/>
              </w:rPr>
              <w:t xml:space="preserve">     </w:t>
            </w:r>
            <w:r>
              <w:rPr>
                <w:rFonts w:ascii="方正书宋_GBK" w:hAnsi="方正书宋_GBK" w:cs="方正书宋_GBK" w:eastAsia="方正书宋_GBK"/>
                <w:sz w:val="18"/>
                <w:szCs w:val="18"/>
              </w:rPr>
              <w:t>月</w:t>
            </w:r>
            <w:r>
              <w:rPr>
                <w:rFonts w:ascii="方正书宋_GBK" w:hAnsi="方正书宋_GBK" w:cs="方正书宋_GBK" w:eastAsia="方正书宋_GBK"/>
                <w:sz w:val="18"/>
                <w:szCs w:val="18"/>
                <w:u w:val="single"/>
              </w:rPr>
              <w:t xml:space="preserve">    </w:t>
            </w:r>
            <w:r>
              <w:rPr>
                <w:rFonts w:ascii="方正书宋_GBK" w:hAnsi="方正书宋_GBK" w:cs="方正书宋_GBK" w:eastAsia="方正书宋_GBK"/>
                <w:sz w:val="18"/>
                <w:szCs w:val="18"/>
              </w:rPr>
              <w:t>日至</w:t>
            </w:r>
            <w:r>
              <w:rPr>
                <w:rFonts w:ascii="方正书宋_GBK" w:hAnsi="方正书宋_GBK" w:cs="方正书宋_GBK" w:eastAsia="方正书宋_GBK"/>
                <w:sz w:val="18"/>
                <w:szCs w:val="18"/>
                <w:u w:val="single"/>
              </w:rPr>
              <w:t xml:space="preserve">       </w:t>
            </w:r>
            <w:r>
              <w:rPr>
                <w:rFonts w:ascii="方正书宋_GBK" w:hAnsi="方正书宋_GBK" w:cs="方正书宋_GBK" w:eastAsia="方正书宋_GBK"/>
                <w:sz w:val="18"/>
                <w:szCs w:val="18"/>
              </w:rPr>
              <w:t>年</w:t>
            </w:r>
            <w:r>
              <w:rPr>
                <w:rFonts w:ascii="方正书宋_GBK" w:hAnsi="方正书宋_GBK" w:cs="方正书宋_GBK" w:eastAsia="方正书宋_GBK"/>
                <w:sz w:val="18"/>
                <w:szCs w:val="18"/>
                <w:u w:val="single"/>
              </w:rPr>
              <w:t xml:space="preserve">     </w:t>
            </w:r>
            <w:r>
              <w:rPr>
                <w:rFonts w:ascii="方正书宋_GBK" w:hAnsi="方正书宋_GBK" w:cs="方正书宋_GBK" w:eastAsia="方正书宋_GBK"/>
                <w:sz w:val="18"/>
                <w:szCs w:val="18"/>
              </w:rPr>
              <w:t>月</w:t>
            </w:r>
            <w:r>
              <w:rPr>
                <w:rFonts w:ascii="方正书宋_GBK" w:hAnsi="方正书宋_GBK" w:cs="方正书宋_GBK" w:eastAsia="方正书宋_GBK"/>
                <w:sz w:val="18"/>
                <w:szCs w:val="18"/>
                <w:u w:val="single"/>
              </w:rPr>
              <w:t xml:space="preserve">    </w:t>
            </w:r>
            <w:r>
              <w:rPr>
                <w:rFonts w:ascii="方正书宋_GBK" w:hAnsi="方正书宋_GBK" w:cs="方正书宋_GBK" w:eastAsia="方正书宋_GBK"/>
                <w:sz w:val="18"/>
                <w:szCs w:val="18"/>
              </w:rPr>
              <w:t>日</w:t>
            </w:r>
          </w:p>
        </w:tc>
      </w:tr>
      <w:tr>
        <w:trPr>
          <w:trHeight w:val="410" w:hRule="atLeast"/>
        </w:trPr>
        <w:tc>
          <w:tcPr>
            <w:tcW w:w="12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pacing w:lineRule="exact" w:line="420"/>
              <w:ind w:end="-13"/>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取件时间</w:t>
            </w:r>
          </w:p>
        </w:tc>
        <w:tc>
          <w:tcPr>
            <w:tcW w:w="779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pacing w:lineRule="exact" w:line="420"/>
              <w:ind w:end="105"/>
              <w:textAlignment w:val="auto"/>
              <w:rPr>
                <w:rFonts w:ascii="方正书宋_GBK" w:hAnsi="方正书宋_GBK" w:eastAsia="方正书宋_GBK" w:cs="方正书宋_GBK"/>
                <w:spacing w:val="-20"/>
                <w:sz w:val="18"/>
                <w:szCs w:val="18"/>
              </w:rPr>
            </w:pPr>
            <w:r>
              <w:rPr>
                <w:rFonts w:ascii="方正书宋_GBK" w:hAnsi="方正书宋_GBK" w:cs="方正书宋_GBK" w:eastAsia="方正书宋_GBK"/>
                <w:spacing w:val="-20"/>
                <w:sz w:val="18"/>
                <w:szCs w:val="18"/>
              </w:rPr>
              <w:t>最迟于</w:t>
            </w:r>
            <w:r>
              <w:rPr>
                <w:rFonts w:ascii="方正书宋_GBK" w:hAnsi="方正书宋_GBK" w:cs="方正书宋_GBK" w:eastAsia="方正书宋_GBK"/>
                <w:spacing w:val="-20"/>
                <w:sz w:val="18"/>
                <w:szCs w:val="18"/>
                <w:u w:val="single"/>
              </w:rPr>
              <w:t xml:space="preserve">       </w:t>
            </w:r>
            <w:r>
              <w:rPr>
                <w:rFonts w:ascii="方正书宋_GBK" w:hAnsi="方正书宋_GBK" w:cs="方正书宋_GBK" w:eastAsia="方正书宋_GBK"/>
                <w:spacing w:val="-20"/>
                <w:sz w:val="18"/>
                <w:szCs w:val="18"/>
              </w:rPr>
              <w:t>年</w:t>
            </w:r>
            <w:r>
              <w:rPr>
                <w:rFonts w:ascii="方正书宋_GBK" w:hAnsi="方正书宋_GBK" w:cs="方正书宋_GBK" w:eastAsia="方正书宋_GBK"/>
                <w:spacing w:val="-20"/>
                <w:sz w:val="18"/>
                <w:szCs w:val="18"/>
                <w:u w:val="single"/>
              </w:rPr>
              <w:t xml:space="preserve">     </w:t>
            </w:r>
            <w:r>
              <w:rPr>
                <w:rFonts w:ascii="方正书宋_GBK" w:hAnsi="方正书宋_GBK" w:cs="方正书宋_GBK" w:eastAsia="方正书宋_GBK"/>
                <w:spacing w:val="-20"/>
                <w:sz w:val="18"/>
                <w:szCs w:val="18"/>
              </w:rPr>
              <w:t>月</w:t>
            </w:r>
            <w:r>
              <w:rPr>
                <w:rFonts w:ascii="方正书宋_GBK" w:hAnsi="方正书宋_GBK" w:cs="方正书宋_GBK" w:eastAsia="方正书宋_GBK"/>
                <w:spacing w:val="-20"/>
                <w:sz w:val="18"/>
                <w:szCs w:val="18"/>
                <w:u w:val="single"/>
              </w:rPr>
              <w:t xml:space="preserve">     </w:t>
            </w:r>
            <w:r>
              <w:rPr>
                <w:rFonts w:ascii="方正书宋_GBK" w:hAnsi="方正书宋_GBK" w:cs="方正书宋_GBK" w:eastAsia="方正书宋_GBK"/>
                <w:spacing w:val="-20"/>
                <w:sz w:val="18"/>
                <w:szCs w:val="18"/>
              </w:rPr>
              <w:t>日前，将维修好的产品取走。每迟延一日，甲方支付</w:t>
            </w:r>
            <w:r>
              <w:rPr>
                <w:rFonts w:ascii="方正书宋_GBK" w:hAnsi="方正书宋_GBK" w:cs="方正书宋_GBK" w:eastAsia="方正书宋_GBK"/>
                <w:spacing w:val="-20"/>
                <w:sz w:val="18"/>
                <w:szCs w:val="18"/>
                <w:u w:val="single"/>
              </w:rPr>
              <w:t xml:space="preserve">       </w:t>
            </w:r>
            <w:r>
              <w:rPr>
                <w:rFonts w:ascii="方正书宋_GBK" w:hAnsi="方正书宋_GBK" w:cs="方正书宋_GBK" w:eastAsia="方正书宋_GBK"/>
                <w:spacing w:val="-20"/>
                <w:sz w:val="18"/>
                <w:szCs w:val="18"/>
              </w:rPr>
              <w:t>元保管费。</w:t>
            </w:r>
          </w:p>
        </w:tc>
      </w:tr>
      <w:tr>
        <w:trPr>
          <w:trHeight w:val="558" w:hRule="atLeast"/>
        </w:trPr>
        <w:tc>
          <w:tcPr>
            <w:tcW w:w="12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费用</w:t>
            </w:r>
          </w:p>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pacing w:val="-20"/>
                <w:sz w:val="18"/>
                <w:szCs w:val="18"/>
              </w:rPr>
            </w:pPr>
            <w:r>
              <w:rPr>
                <w:rFonts w:ascii="方正书宋_GBK" w:hAnsi="方正书宋_GBK" w:cs="方正书宋_GBK" w:eastAsia="方正书宋_GBK"/>
                <w:b/>
                <w:spacing w:val="-20"/>
                <w:sz w:val="18"/>
                <w:szCs w:val="18"/>
              </w:rPr>
              <w:t>（人民币）</w:t>
            </w:r>
          </w:p>
        </w:tc>
        <w:tc>
          <w:tcPr>
            <w:tcW w:w="779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维修费用（预计）</w:t>
            </w:r>
            <w:r>
              <w:rPr>
                <w:rFonts w:ascii="方正书宋_GBK" w:hAnsi="方正书宋_GBK" w:cs="方正书宋_GBK" w:eastAsia="方正书宋_GBK"/>
                <w:sz w:val="18"/>
                <w:szCs w:val="18"/>
                <w:u w:val="single"/>
              </w:rPr>
              <w:t xml:space="preserve">      </w:t>
            </w:r>
            <w:r>
              <w:rPr>
                <w:rFonts w:ascii="方正书宋_GBK" w:hAnsi="方正书宋_GBK" w:cs="方正书宋_GBK" w:eastAsia="方正书宋_GBK"/>
                <w:sz w:val="18"/>
                <w:szCs w:val="18"/>
              </w:rPr>
              <w:t>元，包括</w:t>
            </w:r>
            <w:r>
              <w:rPr>
                <w:rFonts w:ascii="方正书宋_GBK" w:hAnsi="方正书宋_GBK" w:cs="方正书宋_GBK" w:eastAsia="方正书宋_GBK"/>
                <w:sz w:val="18"/>
                <w:szCs w:val="18"/>
                <w:u w:val="single"/>
              </w:rPr>
              <w:t xml:space="preserve">          </w:t>
            </w:r>
            <w:r>
              <w:rPr>
                <w:rFonts w:ascii="方正书宋_GBK" w:hAnsi="方正书宋_GBK" w:cs="方正书宋_GBK" w:eastAsia="方正书宋_GBK"/>
                <w:sz w:val="18"/>
                <w:szCs w:val="18"/>
              </w:rPr>
              <w:t>，维修费用应以维修项目清单为准。</w:t>
            </w:r>
          </w:p>
          <w:p>
            <w:pPr>
              <w:pStyle w:val="Normal"/>
              <w:keepNext w:val="false"/>
              <w:keepLines w:val="false"/>
              <w:widowControl w:val="false"/>
              <w:kinsoku w:val="true"/>
              <w:overflowPunct w:val="true"/>
              <w:autoSpaceDE w:val="true"/>
              <w:bidi w:val="0"/>
              <w:spacing w:lineRule="exact" w:line="420"/>
              <w:ind w:end="105"/>
              <w:textAlignment w:val="auto"/>
              <w:rPr>
                <w:rFonts w:ascii="方正书宋_GBK" w:hAnsi="方正书宋_GBK" w:eastAsia="方正书宋_GBK" w:cs="方正书宋_GBK"/>
                <w:b/>
                <w:sz w:val="18"/>
                <w:szCs w:val="18"/>
              </w:rPr>
            </w:pPr>
            <w:r>
              <w:rPr>
                <w:rFonts w:ascii="方正书宋_GBK" w:hAnsi="方正书宋_GBK" w:cs="方正书宋_GBK" w:eastAsia="方正书宋_GBK"/>
                <w:sz w:val="18"/>
                <w:szCs w:val="18"/>
              </w:rPr>
              <w:t>乙方总维修费用超出</w:t>
            </w:r>
            <w:r>
              <w:rPr>
                <w:rFonts w:ascii="方正书宋_GBK" w:hAnsi="方正书宋_GBK" w:cs="方正书宋_GBK" w:eastAsia="方正书宋_GBK"/>
                <w:sz w:val="18"/>
                <w:szCs w:val="18"/>
                <w:u w:val="single"/>
              </w:rPr>
              <w:t xml:space="preserve">         </w:t>
            </w:r>
            <w:r>
              <w:rPr>
                <w:rFonts w:ascii="方正书宋_GBK" w:hAnsi="方正书宋_GBK" w:cs="方正书宋_GBK" w:eastAsia="方正书宋_GBK"/>
                <w:sz w:val="18"/>
                <w:szCs w:val="18"/>
              </w:rPr>
              <w:t>元后，须征求甲方的意见，决定是否继续维修。</w:t>
            </w:r>
          </w:p>
        </w:tc>
      </w:tr>
      <w:tr>
        <w:trPr>
          <w:trHeight w:val="422" w:hRule="exact"/>
        </w:trPr>
        <w:tc>
          <w:tcPr>
            <w:tcW w:w="12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备机提供</w:t>
            </w:r>
          </w:p>
        </w:tc>
        <w:tc>
          <w:tcPr>
            <w:tcW w:w="779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w:t>
            </w:r>
            <w:r>
              <w:rPr>
                <w:rFonts w:ascii="方正书宋_GBK" w:hAnsi="方正书宋_GBK" w:cs="方正书宋_GBK" w:eastAsia="方正书宋_GBK"/>
                <w:sz w:val="18"/>
                <w:szCs w:val="18"/>
              </w:rPr>
              <w:t>不提供    □乙方提供</w:t>
            </w:r>
            <w:r>
              <w:rPr>
                <w:rFonts w:ascii="方正书宋_GBK" w:hAnsi="方正书宋_GBK" w:cs="方正书宋_GBK" w:eastAsia="方正书宋_GBK"/>
                <w:sz w:val="18"/>
                <w:szCs w:val="18"/>
                <w:u w:val="single"/>
              </w:rPr>
              <w:t xml:space="preserve">                 </w:t>
            </w:r>
            <w:r>
              <w:rPr>
                <w:rFonts w:ascii="方正书宋_GBK" w:hAnsi="方正书宋_GBK" w:cs="方正书宋_GBK" w:eastAsia="方正书宋_GBK"/>
                <w:sz w:val="18"/>
                <w:szCs w:val="18"/>
              </w:rPr>
              <w:t>供甲方备用，甲方应于取件时归还。</w:t>
            </w:r>
          </w:p>
        </w:tc>
      </w:tr>
      <w:tr>
        <w:trPr>
          <w:trHeight w:val="722" w:hRule="exact"/>
        </w:trPr>
        <w:tc>
          <w:tcPr>
            <w:tcW w:w="12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b/>
                <w:bCs/>
                <w:sz w:val="18"/>
                <w:szCs w:val="18"/>
              </w:rPr>
            </w:pPr>
            <w:r>
              <w:rPr>
                <w:rFonts w:ascii="方正书宋_GBK" w:hAnsi="方正书宋_GBK" w:cs="方正书宋_GBK" w:eastAsia="方正书宋_GBK"/>
                <w:b/>
                <w:sz w:val="18"/>
                <w:szCs w:val="18"/>
              </w:rPr>
              <w:t>支付方式</w:t>
            </w:r>
          </w:p>
        </w:tc>
        <w:tc>
          <w:tcPr>
            <w:tcW w:w="779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t>1.</w:t>
            </w:r>
            <w:r>
              <w:rPr>
                <w:rFonts w:ascii="方正书宋_GBK" w:hAnsi="方正书宋_GBK" w:cs="方正书宋_GBK" w:eastAsia="方正书宋_GBK"/>
                <w:sz w:val="18"/>
                <w:szCs w:val="18"/>
              </w:rPr>
              <w:t>维修产品交付时，经双方验收合格，一次性以□现金 □信用卡 □其他方式支付。</w:t>
            </w:r>
          </w:p>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t>2.</w:t>
            </w:r>
            <w:r>
              <w:rPr>
                <w:rFonts w:ascii="方正书宋_GBK" w:hAnsi="方正书宋_GBK" w:cs="方正书宋_GBK" w:eastAsia="方正书宋_GBK"/>
                <w:sz w:val="18"/>
                <w:szCs w:val="18"/>
              </w:rPr>
              <w:t>合同订立时，预付维修费</w:t>
            </w:r>
            <w:r>
              <w:rPr>
                <w:rFonts w:ascii="方正书宋_GBK" w:hAnsi="方正书宋_GBK" w:cs="方正书宋_GBK" w:eastAsia="方正书宋_GBK"/>
                <w:sz w:val="18"/>
                <w:szCs w:val="18"/>
                <w:u w:val="single"/>
              </w:rPr>
              <w:t xml:space="preserve">          </w:t>
            </w:r>
            <w:r>
              <w:rPr>
                <w:rFonts w:ascii="方正书宋_GBK" w:hAnsi="方正书宋_GBK" w:cs="方正书宋_GBK" w:eastAsia="方正书宋_GBK"/>
                <w:sz w:val="18"/>
                <w:szCs w:val="18"/>
              </w:rPr>
              <w:t>元，以□现金  □信用卡 □其他方式支付；</w:t>
            </w:r>
          </w:p>
          <w:p>
            <w:pPr>
              <w:pStyle w:val="Normal"/>
              <w:keepNext w:val="false"/>
              <w:keepLines w:val="false"/>
              <w:widowControl w:val="false"/>
              <w:kinsoku w:val="true"/>
              <w:overflowPunct w:val="true"/>
              <w:autoSpaceDE w:val="true"/>
              <w:bidi w:val="0"/>
              <w:snapToGrid w:val="false"/>
              <w:spacing w:lineRule="exact" w:line="420"/>
              <w:ind w:firstLine="180" w:end="0"/>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经验收合格，余款以□现金  □信用卡  □其他方式支付。</w:t>
            </w:r>
          </w:p>
        </w:tc>
      </w:tr>
      <w:tr>
        <w:trPr>
          <w:trHeight w:val="561" w:hRule="exact"/>
        </w:trPr>
        <w:tc>
          <w:tcPr>
            <w:tcW w:w="12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b/>
                <w:bCs/>
                <w:sz w:val="18"/>
                <w:szCs w:val="18"/>
              </w:rPr>
            </w:pPr>
            <w:r>
              <w:rPr>
                <w:rFonts w:ascii="方正书宋_GBK" w:hAnsi="方正书宋_GBK" w:cs="方正书宋_GBK" w:eastAsia="方正书宋_GBK"/>
                <w:b/>
                <w:bCs/>
                <w:sz w:val="18"/>
                <w:szCs w:val="18"/>
              </w:rPr>
              <w:t>保修</w:t>
            </w:r>
          </w:p>
        </w:tc>
        <w:tc>
          <w:tcPr>
            <w:tcW w:w="779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start"/>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乙方对维修后产品的相同故障保修</w:t>
            </w:r>
            <w:r>
              <w:rPr>
                <w:rFonts w:ascii="方正书宋_GBK" w:hAnsi="方正书宋_GBK" w:cs="方正书宋_GBK" w:eastAsia="方正书宋_GBK"/>
                <w:sz w:val="18"/>
                <w:szCs w:val="18"/>
                <w:u w:val="single"/>
              </w:rPr>
              <w:t xml:space="preserve">         </w:t>
            </w:r>
            <w:r>
              <w:rPr>
                <w:rFonts w:ascii="方正书宋_GBK" w:hAnsi="方正书宋_GBK" w:cs="方正书宋_GBK" w:eastAsia="方正书宋_GBK"/>
                <w:sz w:val="18"/>
                <w:szCs w:val="18"/>
              </w:rPr>
              <w:t>月（天）。但因</w:t>
            </w:r>
            <w:r>
              <w:rPr>
                <w:rFonts w:ascii="方正书宋_GBK" w:hAnsi="方正书宋_GBK" w:cs="方正书宋_GBK" w:eastAsia="方正书宋_GBK"/>
                <w:sz w:val="18"/>
                <w:szCs w:val="18"/>
                <w:u w:val="single"/>
              </w:rPr>
              <w:t xml:space="preserve">                                                    </w:t>
            </w:r>
            <w:r>
              <w:rPr>
                <w:rFonts w:ascii="方正书宋_GBK" w:hAnsi="方正书宋_GBK" w:cs="方正书宋_GBK" w:eastAsia="方正书宋_GBK"/>
                <w:sz w:val="18"/>
                <w:szCs w:val="18"/>
              </w:rPr>
              <w:t>等原因再次引起故障的，不在保修范围内。</w:t>
            </w:r>
          </w:p>
        </w:tc>
      </w:tr>
    </w:tbl>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bCs/>
          <w:sz w:val="22"/>
          <w:szCs w:val="22"/>
        </w:rPr>
      </w:pPr>
      <w:r>
        <w:rPr>
          <w:rFonts w:eastAsia="方正书宋_GBK" w:cs="方正书宋_GBK" w:ascii="方正书宋_GBK" w:hAnsi="方正书宋_GBK"/>
          <w:bCs/>
          <w:sz w:val="22"/>
          <w:szCs w:val="22"/>
        </w:rPr>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Cs/>
          <w:sz w:val="22"/>
          <w:szCs w:val="22"/>
        </w:rPr>
        <w:t>三、双方特别约定</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{特别约定内容}</w:t>
      </w:r>
    </w:p>
    <w:p>
      <w:pPr>
        <w:pStyle w:val="Style15"/>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Style15"/>
        <w:keepNext w:val="false"/>
        <w:keepLines w:val="false"/>
        <w:pageBreakBefore w:val="false"/>
        <w:widowControl w:val="false"/>
        <w:kinsoku w:val="true"/>
        <w:overflowPunct w:val="true"/>
        <w:autoSpaceDE w:val="true"/>
        <w:bidi w:val="0"/>
        <w:spacing w:lineRule="exact" w:line="420"/>
        <w:ind w:firstLine="431" w:end="0"/>
        <w:textAlignment w:val="auto"/>
        <w:rPr>
          <w:rFonts w:ascii="方正书宋_GBK" w:hAnsi="方正书宋_GBK" w:eastAsia="方正书宋_GBK" w:cs="方正书宋_GBK"/>
          <w:bCs/>
          <w:sz w:val="22"/>
          <w:szCs w:val="22"/>
        </w:rPr>
      </w:pPr>
      <w:r>
        <w:rPr>
          <w:rFonts w:ascii="方正书宋_GBK" w:hAnsi="方正书宋_GBK" w:cs="方正书宋_GBK" w:eastAsia="方正书宋_GBK"/>
          <w:bCs/>
          <w:sz w:val="22"/>
          <w:szCs w:val="22"/>
        </w:rPr>
        <w:t>四、解决争议的方法：{解决争议的方法}</w:t>
      </w:r>
    </w:p>
    <w:p>
      <w:pPr>
        <w:pStyle w:val="Style15"/>
        <w:keepNext w:val="false"/>
        <w:keepLines w:val="false"/>
        <w:pageBreakBefore w:val="false"/>
        <w:widowControl w:val="false"/>
        <w:kinsoku w:val="true"/>
        <w:overflowPunct w:val="true"/>
        <w:autoSpaceDE w:val="true"/>
        <w:bidi w:val="0"/>
        <w:spacing w:lineRule="exact" w:line="420"/>
        <w:ind w:firstLine="398"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双方在履行本合同过程中发生争议，应协商解决，协商不成时，选择（不选定的划除）：{争议解决方式}</w:t>
      </w:r>
    </w:p>
    <w:p>
      <w:pPr>
        <w:pStyle w:val="Style15"/>
        <w:keepNext w:val="false"/>
        <w:keepLines w:val="false"/>
        <w:pageBreakBefore w:val="false"/>
        <w:widowControl w:val="false"/>
        <w:kinsoku w:val="true"/>
        <w:overflowPunct w:val="true"/>
        <w:autoSpaceDE w:val="true"/>
        <w:bidi w:val="0"/>
        <w:spacing w:lineRule="exact" w:line="420"/>
        <w:ind w:firstLine="398"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仲</w:t>
      </w:r>
      <w:r>
        <w:rPr>
          <w:rFonts w:ascii="方正书宋_GBK" w:hAnsi="方正书宋_GBK" w:cs="方正书宋_GBK" w:eastAsia="方正书宋_GBK"/>
          <w:sz w:val="22"/>
          <w:szCs w:val="22"/>
          <w:u w:val="single"/>
        </w:rPr>
        <w:t>裁委员会}</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{托修人（甲方）}：{承修人（乙方）：（盖章）}</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地址：{地址}  </w:t>
        <w:br/>
        <w:t>地址：</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电话：{联系电话}  </w:t>
        <w:br/>
        <w:t>电话：</w:t>
      </w:r>
    </w:p>
    <w:p>
      <w:pPr>
        <w:pStyle w:val="Normal"/>
        <w:keepNext w:val="false"/>
        <w:keepLines w:val="false"/>
        <w:pageBreakBefore w:val="false"/>
        <w:widowControl w:val="false"/>
        <w:kinsoku w:val="true"/>
        <w:overflowPunct w:val="true"/>
        <w:autoSpaceDE w:val="true"/>
        <w:bidi w:val="0"/>
        <w:snapToGrid w:val="false"/>
        <w:spacing w:lineRule="exact" w:line="420"/>
        <w:ind w:firstLine="15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{日期}                          {日期}</w:t>
      </w:r>
    </w:p>
    <w:p>
      <w:pPr>
        <w:pStyle w:val="Normal"/>
        <w:keepNext w:val="false"/>
        <w:keepLines w:val="false"/>
        <w:pageBreakBefore w:val="false"/>
        <w:widowControl w:val="false"/>
        <w:kinsoku w:val="true"/>
        <w:overflowPunct w:val="true"/>
        <w:autoSpaceDE w:val="true"/>
        <w:bidi w:val="0"/>
        <w:snapToGrid w:val="false"/>
        <w:spacing w:lineRule="exact" w:line="420"/>
        <w:ind w:firstLine="15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b/>
          <w:spacing w:val="-20"/>
          <w:sz w:val="22"/>
          <w:szCs w:val="22"/>
        </w:rPr>
      </w:pPr>
      <w:r>
        <w:rPr>
          <w:rFonts w:ascii="方正书宋_GBK" w:hAnsi="方正书宋_GBK" w:cs="方正书宋_GBK" w:eastAsia="方正书宋_GBK"/>
          <w:b/>
          <w:spacing w:val="-20"/>
          <w:sz w:val="22"/>
          <w:szCs w:val="22"/>
        </w:rPr>
        <w:t>注：请在签字前充分了解有关事宜，认真填写以上内容，仔细阅读并认可背面相关合同条款。</w:t>
      </w:r>
    </w:p>
    <w:p>
      <w:pPr>
        <w:pStyle w:val="Style15"/>
        <w:keepNext w:val="false"/>
        <w:keepLines w:val="false"/>
        <w:pageBreakBefore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b/>
          <w:spacing w:val="-20"/>
          <w:sz w:val="22"/>
          <w:szCs w:val="22"/>
        </w:rPr>
      </w:pPr>
      <w:r>
        <w:rPr>
          <w:rFonts w:eastAsia="方正书宋_GBK" w:cs="方正书宋_GBK" w:ascii="方正书宋_GBK" w:hAnsi="方正书宋_GBK"/>
          <w:b/>
          <w:spacing w:val="-20"/>
          <w:sz w:val="22"/>
          <w:szCs w:val="22"/>
        </w:rPr>
      </w:r>
    </w:p>
    <w:p>
      <w:pPr>
        <w:pStyle w:val="Style15"/>
        <w:keepNext w:val="false"/>
        <w:keepLines w:val="false"/>
        <w:pageBreakBefore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Style15"/>
        <w:keepNext w:val="false"/>
        <w:keepLines w:val="false"/>
        <w:pageBreakBefore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Style15"/>
        <w:keepNext w:val="false"/>
        <w:keepLines w:val="false"/>
        <w:pageBreakBefore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Style15"/>
        <w:keepNext w:val="false"/>
        <w:keepLines w:val="false"/>
        <w:pageBreakBefore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Style15"/>
        <w:keepNext w:val="false"/>
        <w:keepLines w:val="false"/>
        <w:pageBreakBefore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Style15"/>
        <w:keepNext w:val="false"/>
        <w:keepLines w:val="false"/>
        <w:pageBreakBefore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Style15"/>
        <w:keepNext w:val="false"/>
        <w:keepLines w:val="false"/>
        <w:pageBreakBefore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Style15"/>
        <w:keepNext w:val="false"/>
        <w:keepLines w:val="false"/>
        <w:pageBreakBefore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Style15"/>
        <w:keepNext w:val="false"/>
        <w:keepLines w:val="false"/>
        <w:pageBreakBefore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Style15"/>
        <w:keepNext w:val="false"/>
        <w:keepLines w:val="false"/>
        <w:pageBreakBefore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Style15"/>
        <w:keepNext w:val="false"/>
        <w:keepLines w:val="false"/>
        <w:pageBreakBefore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Style15"/>
        <w:keepNext w:val="false"/>
        <w:keepLines w:val="false"/>
        <w:pageBreakBefore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Style15"/>
        <w:keepNext w:val="false"/>
        <w:keepLines w:val="false"/>
        <w:pageBreakBefore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Style15"/>
        <w:keepNext w:val="false"/>
        <w:keepLines w:val="false"/>
        <w:pageBreakBefore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Style15"/>
        <w:keepNext w:val="false"/>
        <w:keepLines w:val="false"/>
        <w:pageBreakBefore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Style15"/>
        <w:keepNext w:val="false"/>
        <w:keepLines w:val="false"/>
        <w:pageBreakBefore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Style15"/>
        <w:keepNext w:val="false"/>
        <w:keepLines w:val="false"/>
        <w:pageBreakBefore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Style15"/>
        <w:keepNext w:val="false"/>
        <w:keepLines w:val="false"/>
        <w:pageBreakBefore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Style15"/>
        <w:keepNext w:val="false"/>
        <w:keepLines w:val="false"/>
        <w:pageBreakBefore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Style15"/>
        <w:keepNext w:val="false"/>
        <w:keepLines w:val="false"/>
        <w:pageBreakBefore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Style15"/>
        <w:keepNext w:val="false"/>
        <w:keepLines w:val="false"/>
        <w:pageBreakBefore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电子产品维修服务通用条款</w:t>
      </w:r>
    </w:p>
    <w:p>
      <w:pPr>
        <w:pStyle w:val="Style15"/>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 xml:space="preserve">   </w:t>
      </w:r>
    </w:p>
    <w:p>
      <w:pPr>
        <w:pStyle w:val="Style15"/>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bCs/>
          <w:sz w:val="22"/>
          <w:szCs w:val="22"/>
        </w:rPr>
      </w:pPr>
      <w:r>
        <w:rPr>
          <w:rFonts w:ascii="方正书宋_GBK" w:hAnsi="方正书宋_GBK" w:cs="方正书宋_GBK" w:eastAsia="方正书宋_GBK"/>
          <w:bCs/>
          <w:sz w:val="22"/>
          <w:szCs w:val="22"/>
        </w:rPr>
        <w:t>一、适用范围</w:t>
      </w:r>
    </w:p>
    <w:p>
      <w:pPr>
        <w:pStyle w:val="Style15"/>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本合同适用于京津冀地区超出三包期限的生活消费类电子产品的维修服务。消费类电子产品包括手机、电话、电视机、电脑、游戏机、移动通信产品、数码相机、录像机等。</w:t>
      </w:r>
    </w:p>
    <w:p>
      <w:pPr>
        <w:pStyle w:val="Style15"/>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bCs/>
          <w:sz w:val="22"/>
          <w:szCs w:val="22"/>
        </w:rPr>
      </w:pPr>
      <w:r>
        <w:rPr>
          <w:rFonts w:ascii="方正书宋_GBK" w:hAnsi="方正书宋_GBK" w:cs="方正书宋_GBK" w:eastAsia="方正书宋_GBK"/>
          <w:bCs/>
          <w:sz w:val="22"/>
          <w:szCs w:val="22"/>
        </w:rPr>
        <w:t>二、甲方权利义务</w:t>
      </w:r>
    </w:p>
    <w:p>
      <w:pPr>
        <w:pStyle w:val="Style15"/>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bCs/>
          <w:sz w:val="22"/>
          <w:szCs w:val="22"/>
        </w:rPr>
      </w:pPr>
      <w:r>
        <w:rPr>
          <w:rFonts w:eastAsia="方正书宋_GBK" w:cs="方正书宋_GBK" w:ascii="方正书宋_GBK" w:hAnsi="方正书宋_GBK"/>
          <w:bCs/>
          <w:sz w:val="22"/>
          <w:szCs w:val="22"/>
        </w:rPr>
        <w:t>1.</w:t>
      </w:r>
      <w:r>
        <w:rPr>
          <w:rFonts w:ascii="方正书宋_GBK" w:hAnsi="方正书宋_GBK" w:cs="方正书宋_GBK" w:eastAsia="方正书宋_GBK"/>
          <w:bCs/>
          <w:sz w:val="22"/>
          <w:szCs w:val="22"/>
        </w:rPr>
        <w:t>甲方应如实提供维修产品相关资料信息。</w:t>
      </w:r>
    </w:p>
    <w:p>
      <w:pPr>
        <w:pStyle w:val="Style15"/>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bCs/>
          <w:sz w:val="22"/>
          <w:szCs w:val="22"/>
        </w:rPr>
      </w:pPr>
      <w:r>
        <w:rPr>
          <w:rFonts w:eastAsia="方正书宋_GBK" w:cs="方正书宋_GBK" w:ascii="方正书宋_GBK" w:hAnsi="方正书宋_GBK"/>
          <w:bCs/>
          <w:sz w:val="22"/>
          <w:szCs w:val="22"/>
        </w:rPr>
        <w:t>2.</w:t>
      </w:r>
      <w:r>
        <w:rPr>
          <w:rFonts w:ascii="方正书宋_GBK" w:hAnsi="方正书宋_GBK" w:cs="方正书宋_GBK" w:eastAsia="方正书宋_GBK"/>
          <w:bCs/>
          <w:sz w:val="22"/>
          <w:szCs w:val="22"/>
        </w:rPr>
        <w:t>维修服务前，甲方应对其维修产品中数据进行备份。甲方需要乙方协助的，乙方应当予以协助。</w:t>
      </w:r>
    </w:p>
    <w:p>
      <w:pPr>
        <w:pStyle w:val="Style15"/>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bCs/>
          <w:sz w:val="22"/>
          <w:szCs w:val="22"/>
        </w:rPr>
      </w:pPr>
      <w:r>
        <w:rPr>
          <w:rFonts w:eastAsia="方正书宋_GBK" w:cs="方正书宋_GBK" w:ascii="方正书宋_GBK" w:hAnsi="方正书宋_GBK"/>
          <w:bCs/>
          <w:sz w:val="22"/>
          <w:szCs w:val="22"/>
        </w:rPr>
        <w:t>3.</w:t>
      </w:r>
      <w:r>
        <w:rPr>
          <w:rFonts w:ascii="方正书宋_GBK" w:hAnsi="方正书宋_GBK" w:cs="方正书宋_GBK" w:eastAsia="方正书宋_GBK"/>
          <w:bCs/>
          <w:sz w:val="22"/>
          <w:szCs w:val="22"/>
        </w:rPr>
        <w:t>维修过程中换下的零配件归甲方所有。</w:t>
      </w:r>
    </w:p>
    <w:p>
      <w:pPr>
        <w:pStyle w:val="Style15"/>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bCs/>
          <w:sz w:val="22"/>
          <w:szCs w:val="22"/>
        </w:rPr>
      </w:pPr>
      <w:r>
        <w:rPr>
          <w:rFonts w:eastAsia="方正书宋_GBK" w:cs="方正书宋_GBK" w:ascii="方正书宋_GBK" w:hAnsi="方正书宋_GBK"/>
          <w:bCs/>
          <w:sz w:val="22"/>
          <w:szCs w:val="22"/>
        </w:rPr>
        <w:t>4.</w:t>
      </w:r>
      <w:r>
        <w:rPr>
          <w:rFonts w:ascii="方正书宋_GBK" w:hAnsi="方正书宋_GBK" w:cs="方正书宋_GBK" w:eastAsia="方正书宋_GBK"/>
          <w:bCs/>
          <w:sz w:val="22"/>
          <w:szCs w:val="22"/>
        </w:rPr>
        <w:t>甲方应按取件时间办理取件手续，如逾期不领取，乙方可收取保管费。</w:t>
      </w:r>
    </w:p>
    <w:p>
      <w:pPr>
        <w:pStyle w:val="Style15"/>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bCs/>
          <w:sz w:val="22"/>
          <w:szCs w:val="22"/>
        </w:rPr>
      </w:pPr>
      <w:r>
        <w:rPr>
          <w:rFonts w:eastAsia="方正书宋_GBK" w:cs="方正书宋_GBK" w:ascii="方正书宋_GBK" w:hAnsi="方正书宋_GBK"/>
          <w:bCs/>
          <w:sz w:val="22"/>
          <w:szCs w:val="22"/>
        </w:rPr>
        <w:t>5.</w:t>
      </w:r>
      <w:r>
        <w:rPr>
          <w:rFonts w:ascii="方正书宋_GBK" w:hAnsi="方正书宋_GBK" w:cs="方正书宋_GBK" w:eastAsia="方正书宋_GBK"/>
          <w:bCs/>
          <w:sz w:val="22"/>
          <w:szCs w:val="22"/>
        </w:rPr>
        <w:t>若甲方使用乙方提供的备用机，甲方应妥善保管。如在使用过程中，因甲方原因造成备用机损坏或灭失的，甲方应承担赔偿责任。</w:t>
      </w:r>
    </w:p>
    <w:p>
      <w:pPr>
        <w:pStyle w:val="Style15"/>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bCs/>
          <w:sz w:val="22"/>
          <w:szCs w:val="22"/>
        </w:rPr>
      </w:pPr>
      <w:r>
        <w:rPr>
          <w:rFonts w:ascii="方正书宋_GBK" w:hAnsi="方正书宋_GBK" w:cs="方正书宋_GBK" w:eastAsia="方正书宋_GBK"/>
          <w:bCs/>
          <w:sz w:val="22"/>
          <w:szCs w:val="22"/>
        </w:rPr>
        <w:t>三、乙方权利义务</w:t>
      </w:r>
    </w:p>
    <w:p>
      <w:pPr>
        <w:pStyle w:val="Style15"/>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bCs/>
          <w:sz w:val="22"/>
          <w:szCs w:val="22"/>
        </w:rPr>
      </w:pPr>
      <w:r>
        <w:rPr>
          <w:rFonts w:eastAsia="方正书宋_GBK" w:cs="方正书宋_GBK" w:ascii="方正书宋_GBK" w:hAnsi="方正书宋_GBK"/>
          <w:bCs/>
          <w:sz w:val="22"/>
          <w:szCs w:val="22"/>
        </w:rPr>
        <w:t>1.</w:t>
      </w:r>
      <w:r>
        <w:rPr>
          <w:rFonts w:ascii="方正书宋_GBK" w:hAnsi="方正书宋_GBK" w:cs="方正书宋_GBK" w:eastAsia="方正书宋_GBK"/>
          <w:bCs/>
          <w:sz w:val="22"/>
          <w:szCs w:val="22"/>
        </w:rPr>
        <w:t>乙方应具有维修资质证书，维修人员应当具有执业资格，{持证上岗}。</w:t>
      </w:r>
    </w:p>
    <w:p>
      <w:pPr>
        <w:pStyle w:val="Style15"/>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bCs/>
          <w:sz w:val="22"/>
          <w:szCs w:val="22"/>
        </w:rPr>
      </w:pPr>
      <w:r>
        <w:rPr>
          <w:rFonts w:eastAsia="方正书宋_GBK" w:cs="方正书宋_GBK" w:ascii="方正书宋_GBK" w:hAnsi="方正书宋_GBK"/>
          <w:bCs/>
          <w:sz w:val="22"/>
          <w:szCs w:val="22"/>
        </w:rPr>
        <w:t>2.</w:t>
      </w:r>
      <w:r>
        <w:rPr>
          <w:rFonts w:ascii="方正书宋_GBK" w:hAnsi="方正书宋_GBK" w:cs="方正书宋_GBK" w:eastAsia="方正书宋_GBK"/>
          <w:bCs/>
          <w:sz w:val="22"/>
          <w:szCs w:val="22"/>
        </w:rPr>
        <w:t xml:space="preserve"> 乙方维修费标准及零配件价格应在经营场所内予以{公示内容}公示。</w:t>
      </w:r>
    </w:p>
    <w:p>
      <w:pPr>
        <w:pStyle w:val="Style15"/>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bCs/>
          <w:sz w:val="22"/>
          <w:szCs w:val="22"/>
        </w:rPr>
      </w:pPr>
      <w:r>
        <w:rPr>
          <w:rFonts w:eastAsia="方正书宋_GBK" w:cs="方正书宋_GBK" w:ascii="方正书宋_GBK" w:hAnsi="方正书宋_GBK"/>
          <w:bCs/>
          <w:sz w:val="22"/>
          <w:szCs w:val="22"/>
        </w:rPr>
        <w:t>3.</w:t>
      </w:r>
      <w:r>
        <w:rPr>
          <w:rFonts w:ascii="方正书宋_GBK" w:hAnsi="方正书宋_GBK" w:cs="方正书宋_GBK" w:eastAsia="方正书宋_GBK"/>
          <w:bCs/>
          <w:sz w:val="22"/>
          <w:szCs w:val="22"/>
        </w:rPr>
        <w:t>乙方应使用与产品技术和质量标准要求相符的新的零配件。认真记录修理前故障情况、故障处理情况和修理后的质量状况。</w:t>
      </w:r>
    </w:p>
    <w:p>
      <w:pPr>
        <w:pStyle w:val="Style15"/>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bCs/>
          <w:sz w:val="22"/>
          <w:szCs w:val="22"/>
        </w:rPr>
      </w:pPr>
      <w:r>
        <w:rPr>
          <w:rFonts w:eastAsia="方正书宋_GBK" w:cs="方正书宋_GBK" w:ascii="方正书宋_GBK" w:hAnsi="方正书宋_GBK"/>
          <w:bCs/>
          <w:sz w:val="22"/>
          <w:szCs w:val="22"/>
        </w:rPr>
        <w:t>4.</w:t>
      </w:r>
      <w:r>
        <w:rPr>
          <w:rFonts w:ascii="方正书宋_GBK" w:hAnsi="方正书宋_GBK" w:cs="方正书宋_GBK" w:eastAsia="方正书宋_GBK"/>
          <w:bCs/>
          <w:sz w:val="22"/>
          <w:szCs w:val="22"/>
        </w:rPr>
        <w:t>在维修过程中，如遇到费用超出预算、备件断货等问题，乙方应及时与甲方沟通，征求甲方的意见，决定是否继续维修；维修后，乙方应及时通知甲方提取维修产品。</w:t>
      </w:r>
    </w:p>
    <w:p>
      <w:pPr>
        <w:pStyle w:val="Style15"/>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bCs/>
          <w:sz w:val="22"/>
          <w:szCs w:val="22"/>
        </w:rPr>
      </w:pPr>
      <w:r>
        <w:rPr>
          <w:rFonts w:eastAsia="方正书宋_GBK" w:cs="方正书宋_GBK" w:ascii="方正书宋_GBK" w:hAnsi="方正书宋_GBK"/>
          <w:bCs/>
          <w:sz w:val="22"/>
          <w:szCs w:val="22"/>
        </w:rPr>
        <w:t>5.</w:t>
      </w:r>
      <w:r>
        <w:rPr>
          <w:rFonts w:ascii="方正书宋_GBK" w:hAnsi="方正书宋_GBK" w:cs="方正书宋_GBK" w:eastAsia="方正书宋_GBK"/>
          <w:bCs/>
          <w:sz w:val="22"/>
          <w:szCs w:val="22"/>
        </w:rPr>
        <w:t>乙方不得复制、泄漏或不正当使用甲方维修产品中的信息，并承担保密义务。乙方擅自复制或泄漏甲方的信息，给甲方造成损失的，应当予以赔偿，并承担其他相应的法律责任。</w:t>
      </w:r>
    </w:p>
    <w:p>
      <w:pPr>
        <w:pStyle w:val="Style15"/>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bCs/>
          <w:sz w:val="22"/>
          <w:szCs w:val="22"/>
        </w:rPr>
      </w:pPr>
      <w:r>
        <w:rPr>
          <w:rFonts w:eastAsia="方正书宋_GBK" w:cs="方正书宋_GBK" w:ascii="方正书宋_GBK" w:hAnsi="方正书宋_GBK"/>
          <w:bCs/>
          <w:sz w:val="22"/>
          <w:szCs w:val="22"/>
        </w:rPr>
        <w:t>6.</w:t>
      </w:r>
      <w:r>
        <w:rPr>
          <w:rFonts w:ascii="方正书宋_GBK" w:hAnsi="方正书宋_GBK" w:cs="方正书宋_GBK" w:eastAsia="方正书宋_GBK"/>
          <w:bCs/>
          <w:sz w:val="22"/>
          <w:szCs w:val="22"/>
        </w:rPr>
        <w:t>乙方在维修过程中造成维修产品毁损丢失的，或由于乙方自身原因造成数据损坏或灭失的，应承担赔偿责任。</w:t>
      </w:r>
    </w:p>
    <w:p>
      <w:pPr>
        <w:pStyle w:val="Style15"/>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bCs/>
          <w:sz w:val="22"/>
          <w:szCs w:val="22"/>
        </w:rPr>
      </w:pPr>
      <w:r>
        <w:rPr>
          <w:rFonts w:ascii="方正书宋_GBK" w:hAnsi="方正书宋_GBK" w:cs="方正书宋_GBK" w:eastAsia="方正书宋_GBK"/>
          <w:bCs/>
          <w:sz w:val="22"/>
          <w:szCs w:val="22"/>
        </w:rPr>
        <w:t>四、验收</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维修产品必须符合国家质量标准或合同规定的标准。交付维修后产品时</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由甲方对维修产品进行检验</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确认原故障修复或排除。如不符合{国家质量标准}或{合同规定</w:t>
      </w:r>
      <w:r>
        <w:rPr>
          <w:rFonts w:eastAsia="方正书宋_GBK" w:cs="方正书宋_GBK" w:ascii="方正书宋_GBK" w:hAnsi="方正书宋_GBK"/>
          <w:sz w:val="22"/>
          <w:szCs w:val="22"/>
        </w:rPr>
        <w:t>的</w:t>
      </w:r>
      <w:r>
        <w:rPr>
          <w:rFonts w:ascii="方正书宋_GBK" w:hAnsi="方正书宋_GBK" w:cs="方正书宋_GBK" w:eastAsia="方正书宋_GBK"/>
          <w:sz w:val="22"/>
          <w:szCs w:val="22"/>
        </w:rPr>
        <w:t>标准},甲方有权拒绝接收，不承担保管费用。</w:t>
      </w:r>
    </w:p>
    <w:p>
      <w:pPr>
        <w:pStyle w:val="Style15"/>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bCs/>
          <w:sz w:val="22"/>
          <w:szCs w:val="22"/>
        </w:rPr>
      </w:pPr>
      <w:r>
        <w:rPr>
          <w:rFonts w:ascii="方正书宋_GBK" w:hAnsi="方正书宋_GBK" w:cs="方正书宋_GBK" w:eastAsia="方正书宋_GBK"/>
          <w:bCs/>
          <w:sz w:val="22"/>
          <w:szCs w:val="22"/>
        </w:rPr>
        <w:t>五、其他</w:t>
      </w:r>
    </w:p>
    <w:p>
      <w:pPr>
        <w:pStyle w:val="Style15"/>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bCs/>
          <w:sz w:val="22"/>
          <w:szCs w:val="22"/>
        </w:rPr>
      </w:pPr>
      <w:r>
        <w:rPr>
          <w:rFonts w:ascii="方正书宋_GBK" w:hAnsi="方正书宋_GBK" w:cs="方正书宋_GBK" w:eastAsia="方正书宋_GBK"/>
          <w:bCs/>
          <w:sz w:val="22"/>
          <w:szCs w:val="22"/>
        </w:rPr>
        <w:t>本合同自双方签字、盖章确认之日起生效。本合同未尽事宜以及在履行中需要变更等内容，通过订立补充协议进行约定。</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本合同及补充协议，具有同等法律效力。</w:t>
      </w:r>
    </w:p>
    <w:sectPr>
      <w:footerReference w:type="even" r:id="rId2"/>
      <w:footerReference w:type="default" r:id="rId3"/>
      <w:type w:val="nextPage"/>
      <w:pgSz w:w="11906" w:h="16838"/>
      <w:pgMar w:left="1588" w:right="1474" w:gutter="0" w:header="0" w:top="2098" w:footer="992" w:bottom="1985"/>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default"/>
  </w:font>
  <w:font w:name="宋体">
    <w:charset w:val="86"/>
    <w:family w:val="auto"/>
    <w:pitch w:val="default"/>
  </w:font>
  <w:font w:name="仿宋_GB2312">
    <w:altName w:val="仿宋"/>
    <w:charset w:val="86"/>
    <w:family w:val="modern"/>
    <w:pitch w:val="default"/>
  </w:font>
  <w:font w:name="Liberation Sans">
    <w:altName w:val="Arial"/>
    <w:charset w:val="01" w:characterSet="utf-8"/>
    <w:family w:val="swiss"/>
    <w:pitch w:val="variable"/>
  </w:font>
  <w:font w:name="Arial">
    <w:charset w:val="00" w:characterSet="windows-1252"/>
    <w:family w:val="swiss"/>
    <w:pitch w:val="default"/>
  </w:font>
  <w:font w:name="方正小标宋_GBK">
    <w:charset w:val="86"/>
    <w:family w:val="auto"/>
    <w:pitch w:val="default"/>
  </w:font>
  <w:font w:name="方正楷体_GBK">
    <w:charset w:val="86"/>
    <w:family w:val="auto"/>
    <w:pitch w:val="default"/>
  </w:font>
  <w:font w:name="方正书宋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r>
      <mc:AlternateContent>
        <mc:Choice Requires="wps">
          <w:drawing>
            <wp:anchor behindDoc="0" distT="0" distB="0" distL="0" distR="0" simplePos="0" locked="0" layoutInCell="0" allowOverlap="1" relativeHeight="3">
              <wp:simplePos x="0" y="0"/>
              <wp:positionH relativeFrom="page">
                <wp:posOffset>1172210</wp:posOffset>
              </wp:positionH>
              <wp:positionV relativeFrom="paragraph">
                <wp:posOffset>-217170</wp:posOffset>
              </wp:positionV>
              <wp:extent cx="686435" cy="248920"/>
              <wp:effectExtent l="0" t="0" r="0" b="0"/>
              <wp:wrapSquare wrapText="bothSides"/>
              <wp:docPr id="1" name="Frame1"/>
              <a:graphic xmlns:a="http://schemas.openxmlformats.org/drawingml/2006/main">
                <a:graphicData uri="http://schemas.microsoft.com/office/word/2010/wordprocessingShape">
                  <wps:wsp>
                    <wps:cNvSpPr txBox="1"/>
                    <wps:spPr>
                      <a:xfrm>
                        <a:off x="0" y="0"/>
                        <a:ext cx="686435" cy="248920"/>
                      </a:xfrm>
                      <a:prstGeom prst="rect"/>
                      <a:solidFill>
                        <a:srgbClr val="FFFFFF">
                          <a:alpha val="0"/>
                        </a:srgbClr>
                      </a:solidFill>
                    </wps:spPr>
                    <wps:txbx>
                      <w:txbxContent>
                        <w:p>
                          <w:pPr>
                            <w:pStyle w:val="Footer"/>
                            <w:rPr>
                              <w:rStyle w:val="PageNumber"/>
                              <w:sz w:val="21"/>
                              <w:szCs w:val="21"/>
                            </w:rPr>
                          </w:pPr>
                          <w:r>
                            <w:rPr>
                              <w:rStyle w:val="PageNumber"/>
                              <w:rFonts w:ascii="Times New Roman" w:hAnsi="Times New Roman"/>
                              <w:sz w:val="28"/>
                              <w:szCs w:val="28"/>
                            </w:rPr>
                            <w:t>—</w:t>
                          </w:r>
                          <w:r>
                            <w:rPr>
                              <w:rFonts w:ascii="Times New Roman" w:hAnsi="Times New Roman"/>
                              <w:sz w:val="28"/>
                              <w:szCs w:val="28"/>
                            </w:rPr>
                            <w:fldChar w:fldCharType="begin"/>
                          </w:r>
                          <w:r>
                            <w:rPr>
                              <w:sz w:val="28"/>
                              <w:szCs w:val="28"/>
                              <w:rFonts w:ascii="Times New Roman" w:hAnsi="Times New Roman"/>
                            </w:rPr>
                            <w:instrText xml:space="preserve"> PAGE </w:instrText>
                          </w:r>
                          <w:r>
                            <w:rPr>
                              <w:sz w:val="28"/>
                              <w:szCs w:val="28"/>
                              <w:rFonts w:ascii="Times New Roman" w:hAnsi="Times New Roman"/>
                            </w:rPr>
                            <w:fldChar w:fldCharType="separate"/>
                          </w:r>
                          <w:r>
                            <w:rPr>
                              <w:sz w:val="28"/>
                              <w:szCs w:val="28"/>
                              <w:rFonts w:ascii="Times New Roman" w:hAnsi="Times New Roman"/>
                            </w:rPr>
                            <w:t>4</w:t>
                          </w:r>
                          <w:r>
                            <w:rPr>
                              <w:sz w:val="28"/>
                              <w:szCs w:val="28"/>
                              <w:rFonts w:ascii="Times New Roman" w:hAnsi="Times New Roman"/>
                            </w:rPr>
                            <w:fldChar w:fldCharType="end"/>
                          </w:r>
                          <w:r>
                            <w:rPr>
                              <w:rStyle w:val="PageNumber"/>
                              <w:rFonts w:ascii="Times New Roman" w:hAnsi="Times New Roman"/>
                              <w:sz w:val="28"/>
                              <w:szCs w:val="28"/>
                            </w:rPr>
                            <w:t>—</w:t>
                          </w:r>
                        </w:p>
                      </w:txbxContent>
                    </wps:txbx>
                    <wps:bodyPr anchor="t" lIns="0" tIns="0" rIns="0" bIns="0">
                      <a:noAutofit/>
                    </wps:bodyPr>
                  </wps:wsp>
                </a:graphicData>
              </a:graphic>
            </wp:anchor>
          </w:drawing>
        </mc:Choice>
        <mc:Fallback>
          <w:pict>
            <v:rect fillcolor="#FFFFFF" style="position:absolute;rotation:-0;width:54.05pt;height:19.6pt;mso-wrap-distance-left:0pt;mso-wrap-distance-right:0pt;mso-wrap-distance-top:0pt;mso-wrap-distance-bottom:0pt;margin-top:-17.1pt;mso-position-vertical-relative:text;margin-left:92.3pt;mso-position-horizontal-relative:page">
              <v:fill opacity="0f"/>
              <v:textbox inset="0in,0in,0in,0in">
                <w:txbxContent>
                  <w:p>
                    <w:pPr>
                      <w:pStyle w:val="Footer"/>
                      <w:rPr>
                        <w:rStyle w:val="PageNumber"/>
                        <w:sz w:val="21"/>
                        <w:szCs w:val="21"/>
                      </w:rPr>
                    </w:pPr>
                    <w:r>
                      <w:rPr>
                        <w:rStyle w:val="PageNumber"/>
                        <w:rFonts w:ascii="Times New Roman" w:hAnsi="Times New Roman"/>
                        <w:sz w:val="28"/>
                        <w:szCs w:val="28"/>
                      </w:rPr>
                      <w:t>—</w:t>
                    </w:r>
                    <w:r>
                      <w:rPr>
                        <w:rFonts w:ascii="Times New Roman" w:hAnsi="Times New Roman"/>
                        <w:sz w:val="28"/>
                        <w:szCs w:val="28"/>
                      </w:rPr>
                      <w:fldChar w:fldCharType="begin"/>
                    </w:r>
                    <w:r>
                      <w:rPr>
                        <w:sz w:val="28"/>
                        <w:szCs w:val="28"/>
                        <w:rFonts w:ascii="Times New Roman" w:hAnsi="Times New Roman"/>
                      </w:rPr>
                      <w:instrText xml:space="preserve"> PAGE </w:instrText>
                    </w:r>
                    <w:r>
                      <w:rPr>
                        <w:sz w:val="28"/>
                        <w:szCs w:val="28"/>
                        <w:rFonts w:ascii="Times New Roman" w:hAnsi="Times New Roman"/>
                      </w:rPr>
                      <w:fldChar w:fldCharType="separate"/>
                    </w:r>
                    <w:r>
                      <w:rPr>
                        <w:sz w:val="28"/>
                        <w:szCs w:val="28"/>
                        <w:rFonts w:ascii="Times New Roman" w:hAnsi="Times New Roman"/>
                      </w:rPr>
                      <w:t>4</w:t>
                    </w:r>
                    <w:r>
                      <w:rPr>
                        <w:sz w:val="28"/>
                        <w:szCs w:val="28"/>
                        <w:rFonts w:ascii="Times New Roman" w:hAnsi="Times New Roman"/>
                      </w:rPr>
                      <w:fldChar w:fldCharType="end"/>
                    </w:r>
                    <w:r>
                      <w:rPr>
                        <w:rStyle w:val="PageNumber"/>
                        <w:rFonts w:ascii="Times New Roman" w:hAnsi="Times New Roman"/>
                        <w:sz w:val="28"/>
                        <w:szCs w:val="28"/>
                      </w:rPr>
                      <w:t>—</w:t>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38"/>
      <w:jc w:val="end"/>
      <w:rPr>
        <w:sz w:val="28"/>
        <w:szCs w:val="28"/>
      </w:rPr>
    </w:pPr>
    <w:r>
      <w:rPr>
        <w:rFonts w:cs="仿宋_GB2312;仿宋"/>
        <w:sz w:val="28"/>
        <w:szCs w:val="28"/>
      </w:rPr>
      <w:t>—</w:t>
    </w:r>
    <w:r>
      <w:rPr>
        <w:rFonts w:ascii="Times New Roman" w:hAnsi="Times New Roman"/>
        <w:sz w:val="28"/>
        <w:szCs w:val="28"/>
      </w:rPr>
      <w:fldChar w:fldCharType="begin"/>
    </w:r>
    <w:r>
      <w:rPr>
        <w:sz w:val="28"/>
        <w:szCs w:val="28"/>
        <w:rFonts w:ascii="Times New Roman" w:hAnsi="Times New Roman"/>
      </w:rPr>
      <w:instrText xml:space="preserve"> PAGE </w:instrText>
    </w:r>
    <w:r>
      <w:rPr>
        <w:sz w:val="28"/>
        <w:szCs w:val="28"/>
        <w:rFonts w:ascii="Times New Roman" w:hAnsi="Times New Roman"/>
      </w:rPr>
      <w:fldChar w:fldCharType="separate"/>
    </w:r>
    <w:r>
      <w:rPr>
        <w:sz w:val="28"/>
        <w:szCs w:val="28"/>
        <w:rFonts w:ascii="Times New Roman" w:hAnsi="Times New Roman"/>
      </w:rPr>
      <w:t>3</w:t>
    </w:r>
    <w:r>
      <w:rPr>
        <w:sz w:val="28"/>
        <w:szCs w:val="28"/>
        <w:rFonts w:ascii="Times New Roman" w:hAnsi="Times New Roman"/>
      </w:rPr>
      <w:fldChar w:fldCharType="end"/>
    </w:r>
    <w:r>
      <w:rPr>
        <w:rFonts w:cs="仿宋_GB2312;仿宋"/>
        <w:sz w:val="28"/>
        <w:szCs w:val="28"/>
      </w:rPr>
      <w:t>—</w:t>
    </w:r>
  </w:p>
  <w:p>
    <w:pPr>
      <w:pStyle w:val="Footer"/>
      <w:ind w:end="360"/>
      <w:rPr>
        <w:sz w:val="28"/>
        <w:szCs w:val="28"/>
      </w:rPr>
    </w:pPr>
    <w:r>
      <w:rPr>
        <w:sz w:val="28"/>
        <w:szCs w:val="28"/>
      </w:rPr>
    </w:r>
  </w:p>
</w:ftr>
</file>

<file path=word/settings.xml><?xml version="1.0" encoding="utf-8"?>
<w:settings xmlns:w="http://schemas.openxmlformats.org/wordprocessingml/2006/main">
  <w:zoom w:percent="150"/>
  <w:defaultTabStop w:val="420"/>
  <w:autoHyphenation w:val="true"/>
  <w:hyphenationZone w:val="0"/>
  <w:evenAndOddHeaders/>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character" w:styleId="Style14">
    <w:name w:val="默认段落字体"/>
    <w:qFormat/>
    <w:rPr/>
  </w:style>
  <w:style w:type="character" w:styleId="Char">
    <w:name w:val="纯文本 Char"/>
    <w:qFormat/>
    <w:rPr>
      <w:rFonts w:ascii="宋体" w:hAnsi="宋体" w:cs="Courier New"/>
      <w:szCs w:val="21"/>
    </w:rPr>
  </w:style>
  <w:style w:type="character" w:styleId="PageNumber">
    <w:name w:val="page number"/>
    <w:basedOn w:val="Style14"/>
    <w:rPr/>
  </w:style>
  <w:style w:type="character" w:styleId="Char1">
    <w:name w:val="正文文本 Char"/>
    <w:qFormat/>
    <w:rPr>
      <w:rFonts w:ascii="Calibri" w:hAnsi="Calibri" w:eastAsia="宋体" w:cs="Times New Roman"/>
    </w:rPr>
  </w:style>
  <w:style w:type="character" w:styleId="Char2">
    <w:name w:val="页脚 Char"/>
    <w:qFormat/>
    <w:rPr>
      <w:rFonts w:ascii="仿宋_GB2312;仿宋" w:hAnsi="仿宋_GB2312;仿宋" w:eastAsia="仿宋_GB2312;仿宋" w:cs="Times New Roman"/>
      <w:color w:val="000000"/>
      <w:kern w:val="2"/>
      <w:sz w:val="18"/>
      <w:szCs w:val="18"/>
    </w:rPr>
  </w:style>
  <w:style w:type="character" w:styleId="Char11">
    <w:name w:val="纯文本 Char1"/>
    <w:qFormat/>
    <w:rPr>
      <w:rFonts w:ascii="宋体" w:hAnsi="宋体" w:cs="Courier New"/>
      <w:kern w:val="2"/>
      <w:sz w:val="21"/>
      <w:szCs w:val="21"/>
    </w:rPr>
  </w:style>
  <w:style w:type="character" w:styleId="Char3">
    <w:name w:val="页眉 Char"/>
    <w:qFormat/>
    <w:rPr>
      <w:kern w:val="2"/>
      <w:sz w:val="18"/>
      <w:szCs w:val="18"/>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before="0" w:after="120"/>
    </w:pPr>
    <w:rPr>
      <w:kern w:val="0"/>
      <w:sz w:val="20"/>
      <w:szCs w:val="20"/>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纯文本"/>
    <w:basedOn w:val="Normal"/>
    <w:qFormat/>
    <w:pPr/>
    <w:rPr>
      <w:rFonts w:ascii="宋体" w:hAnsi="宋体" w:cs="Courier New"/>
      <w:kern w:val="0"/>
      <w:sz w:val="20"/>
      <w:szCs w:val="21"/>
    </w:rPr>
  </w:style>
  <w:style w:type="paragraph" w:styleId="Footer">
    <w:name w:val="footer"/>
    <w:basedOn w:val="Normal"/>
    <w:pPr>
      <w:tabs>
        <w:tab w:val="clear" w:pos="420"/>
        <w:tab w:val="center" w:pos="4153" w:leader="none"/>
        <w:tab w:val="right" w:pos="8306" w:leader="none"/>
      </w:tabs>
      <w:snapToGrid w:val="false"/>
      <w:jc w:val="start"/>
    </w:pPr>
    <w:rPr>
      <w:rFonts w:ascii="仿宋_GB2312;仿宋" w:hAnsi="仿宋_GB2312;仿宋" w:eastAsia="仿宋_GB2312;仿宋" w:cs="Times New Roman"/>
      <w:color w:val="000000"/>
      <w:sz w:val="18"/>
      <w:szCs w:val="18"/>
    </w:rPr>
  </w:style>
  <w:style w:type="paragraph" w:styleId="CharCharCharCharCharChar1Char">
    <w:name w:val="Char Char Char Char Char Char1 Char"/>
    <w:basedOn w:val="Normal"/>
    <w:qFormat/>
    <w:pPr>
      <w:widowControl/>
      <w:spacing w:lineRule="exact" w:line="240" w:before="0" w:after="160"/>
      <w:jc w:val="start"/>
    </w:pPr>
    <w:rPr>
      <w:rFonts w:ascii="Arial" w:hAnsi="Arial" w:eastAsia="Times New Roman" w:cs="Verdana"/>
      <w:b/>
      <w:kern w:val="0"/>
      <w:sz w:val="24"/>
      <w:szCs w:val="32"/>
      <w:lang w:eastAsia="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14400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2019-08-22T17:03:00Z</dcterms:created>
  <dc:creator>管理员</dc:creator>
  <dc:description/>
  <dc:language>zh-CN</dc:language>
  <cp:lastModifiedBy>袁弘信</cp:lastModifiedBy>
  <dcterms:modified xsi:type="dcterms:W3CDTF">2022-02-18T15:34:56Z</dcterms:modified>
  <cp:revision>2</cp:revision>
  <dc:subject/>
  <dc:title>天津市市场和质量监督管理委员会文件</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