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仿宋_GB2312" w:cs="Times New Roman"/>
          <w:b/>
          <w:sz w:val="28"/>
          <w:szCs w:val="28"/>
        </w:rPr>
        <w:t>JF-2017-076</w:t>
      </w:r>
      <w:r>
        <w:rPr>
          <w:rFonts w:hint="eastAsia" w:ascii="仿宋_GB2312" w:eastAsia="仿宋_GB2312"/>
          <w:b/>
          <w:sz w:val="28"/>
          <w:szCs w:val="28"/>
        </w:rPr>
        <w:t xml:space="preserve">                             合同编号：{合同编号}</w:t>
      </w:r>
    </w:p>
    <w:p>
      <w:pPr>
        <w:jc w:val="center"/>
        <w:rPr>
          <w:rFonts w:hint="eastAsia"/>
          <w:b/>
          <w:sz w:val="18"/>
          <w:szCs w:val="18"/>
        </w:rPr>
      </w:pPr>
    </w:p>
    <w:p>
      <w:pPr>
        <w:jc w:val="center"/>
        <w:rPr>
          <w:rFonts w:hint="eastAsia" w:ascii="仿宋_GB2312" w:eastAsia="仿宋_GB2312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sz w:val="40"/>
          <w:szCs w:val="40"/>
        </w:rPr>
        <w:t>天津市家居定制商品合同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{甲方}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{乙方}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第一条  商品基本情况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 xml:space="preserve">                                   </w:t>
      </w:r>
    </w:p>
    <w:tbl>
      <w:tblPr>
        <w:tblStyle w:val="4"/>
        <w:tblW w:w="86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81"/>
        <w:gridCol w:w="950"/>
        <w:gridCol w:w="871"/>
        <w:gridCol w:w="720"/>
        <w:gridCol w:w="900"/>
        <w:gridCol w:w="1080"/>
        <w:gridCol w:w="900"/>
        <w:gridCol w:w="878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序号</w:t>
            </w: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商品名称</w:t>
            </w: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产地</w:t>
            </w: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材 质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颜色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辅 料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数量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单价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合计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8677" w:type="dxa"/>
            <w:gridSpan w:val="1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  <w:t>总价款（大写）：                             ￥          元（人民币）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第二条 {测量、设计及费用相关内容}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1、测量、设计图纸（详见附件）。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设计方案必须符合小区物业、水、电、气、暖的装修规定，甲乙双方须签字确认。如需更改必须经甲乙双方签字认可，更改所造成的责任（延期交货、安装和费用增减及损失），由更改方承担。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09" w:firstLineChars="186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测量、设计图纸提供时间：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{年}{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}{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2、相关费用：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⑴测量、设计费：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{测量设计费}       元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⑵运输、搬运费：{运输搬运费}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元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⑶安装费：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元    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⑷其他费用：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{其他费用} 元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第三条  付款方式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□乙方在签约时一次性支付定制商品总价款。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□乙方在签约时支付定金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{定金金额} 元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(不得超过商品总价的20%)，余款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{尾款金额}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元在货物交付时一次性付清。乙方违约，无权要求退还定金；甲方违约应双倍返还定金。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第四条  货物交付、安装时间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□乙方自提：提货时间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{提货时间}，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提货地点{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提货地点}。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□甲方送货：交货时间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{交货时间}，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交货地点{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交货地点}。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□定制商品：安装时间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{安装时间}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，安装地点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{安装地点} 。</w:t>
      </w:r>
      <w:r>
        <w:rPr>
          <w:rFonts w:hint="eastAsia" w:ascii="方正书宋_GBK" w:hAnsi="方正书宋_GBK" w:eastAsia="方正书宋_GBK" w:cs="方正书宋_GBK"/>
          <w:sz w:val="22"/>
          <w:szCs w:val="22"/>
        </w:rPr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7" w:firstLineChars="199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定制商品至指定地点时，乙方应按时接收，同时妥善保管全部货物。定制的易损商品（玻璃制品、陶瓷制品等），乙方在接收商品时，须当场检验查收，无误的应签收；如发现问题应当场提出，书面确认。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第五条  产品的{质量要求}和{保修期}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1、定制商品必须符合合同规定和相关标准，且不低于样品同等质量，并符合国家环保要求。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5" w:firstLineChars="198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2、甲方对定制商品实行三包。如出现质量问题，甲方按《中华人民共和国消费者权益保护法》等法律法规规定，承担定制商品的 “{责任内容}”责任。甲方或主办单位做出对乙方更有利的责任承诺的，按照该承诺执行。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5" w:firstLineChars="198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3、在保修期内，甲方在乙方提出维修通知的{5日内}，派专人免费维修。对乙方因使用不当造成的产品损坏，甲方负责维修、保养服务，维修、保养费用由乙方承担。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第六条 定制商品验收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定制商品安装、调试完毕后，乙方应当自安装、调试完毕起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{验收期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限} 日内进行验收。验收合格，乙方应书面确认；验收不合格，乙方应当场提出，双方书面确认。甲方应即时予以修理、更换、退货处理。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在部分或全部商品安装完毕后，若非因甲方原因造成部分或全部货物需要多次拆卸、安装，乙方有义务协助甲方安装完毕，因此造成的{运费}、{人工}等费用，由乙方承担。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第七条 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1、一方延迟送货或提货的，违约方应每日向对方支付总价款{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违约金比例}%的违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2、违约超过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{天数}    日的,守约方有权解除合同，支付定金的，可选择适用定金罚则。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3、乙方违约退货，无权要求返还定金，甲方违约不能交货的，应双倍返还定金。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78" w:firstLineChars="263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4、经法定家居定制商品质量检验机构检验，定制商品的有害物质限量不符合国家标准的强制性要求的，乙方有权无条件退货，并要求甲方赔偿相应的检测费、交通费、误工费、损失费等损失，并承担总价款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{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第八条 市场主办单位的责任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乙双方签定合同后，须加盖主办单位有效印章。甲方撤离展销会或市场的，主办单位负责联系厂家协商解决，厂家不能及时解决或无正当理由不予解决的，由主办单位先行承担赔偿责任，主办单位承担责任之后，有权向甲方追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第九条 {争议解决方式}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本合同发生争议，双方应协商解决。协商不成时，可向市场主办单位或消费者协会申请调解。当协商和调解不成，可采取以下第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{选择方式}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种方式解决：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{仲裁委员会} 申请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仲裁。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735" w:hanging="770" w:hangingChars="3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2、向人民法院起诉。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如果甲方拒不执行仲裁裁决或法院判决，由市场主办单位向乙方进行先行赔付。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第十条  其他约定事项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{其他约定事项内容}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第十一条  {附则}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本合同与合同附件具有同等法律效力。本合同经甲、乙双方盖章、签字之日起生效。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合同如有未尽事宜，须由{甲方}和{乙方}共同协商，签定补充协议，补充协议与本合同具有同等法律效力。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本合同一式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{份数}份，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其中甲方{甲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方份数}份，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乙方{乙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方份数}份，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市场主办单位{主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>办单位份数}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份。均具有同等法律效力。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2" w:firstLineChars="200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{甲方（章）}                   {乙方（签字或盖章）}        {主办单位（章）}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地址：{地址}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法定代表人：{法定代表人}  </w:t>
        <w:br/>
        <w:t>法定代表人：{法定代表人}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委托代理人：{委托代理人}                                           委托代理人：{委托代理人}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电话：{联系电话}  </w:t>
        <w:br/>
        <w:t xml:space="preserve">电   话：{联系电话}  </w:t>
        <w:br/>
        <w:t>电话：{联系电话}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售后服务电话：{联系电话}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  <w:t>市市场监管委特别提示：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1、本市行政区域内的家居定制商品销售适用本合同文本。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2、本合同文本仅供甲乙双方参照约定采用，需签订合同前仔细阅读。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3、签订合同前乙方要验看甲方的相关证、照，合同应加盖具有法人资格的合同专用章。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4、“产地”是指家居建材产品生产成形地。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5、家居定制的易损商品、玻璃制品，乙方在接收商品检验无误后，给予送货人签收。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6、家居定制类商品需甲乙双方对图纸进行签字确认。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7、家居定制商品合同一旦双方确认，单方不得擅自更改，如需更改必须经双方签字认可。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8、乙方可以登录市市场监管委官网查询下载该合同示范文本；甲方改动合同示范文本条款，并以制定机关名义及文本编号印制、使用，市场监管部门将依法处理。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附件粘贴处：{备注}（另附纸）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53BB2"/>
    <w:rsid w:val="036E4DA7"/>
    <w:rsid w:val="43A5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uiPriority w:val="0"/>
    <w:rPr>
      <w:rFonts w:ascii="宋体" w:hAnsi="宋体" w:eastAsia="仿宋_GB2312" w:cs="宋体"/>
      <w:sz w:val="24"/>
      <w:szCs w:val="32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"/>
    <w:basedOn w:val="1"/>
    <w:link w:val="5"/>
    <w:qFormat/>
    <w:uiPriority w:val="0"/>
    <w:pPr>
      <w:spacing w:line="360" w:lineRule="auto"/>
      <w:ind w:firstLine="200" w:firstLineChars="200"/>
    </w:pPr>
    <w:rPr>
      <w:rFonts w:ascii="宋体" w:hAnsi="宋体" w:eastAsia="仿宋_GB2312" w:cs="宋体"/>
      <w:sz w:val="24"/>
      <w:szCs w:val="32"/>
    </w:rPr>
  </w:style>
  <w:style w:type="character" w:styleId="7">
    <w:name w:val="page number"/>
    <w:basedOn w:val="5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2022-02-16T09:56:00Z</dcterms:created>
  <dc:creator>王嘉杰</dc:creator>
  <cp:lastModifiedBy>袁弘信</cp:lastModifiedBy>
  <dcterms:modified xsi:type="dcterms:W3CDTF">2022-02-18T09:16:32Z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