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仿宋_GB2312" w:cs="Times New Roman"/>
          <w:b/>
          <w:sz w:val="28"/>
          <w:szCs w:val="28"/>
        </w:rPr>
        <w:t>JF-2017-077</w:t>
      </w:r>
      <w:r>
        <w:rPr>
          <w:rFonts w:hint="eastAsia" w:ascii="仿宋_GB2312" w:eastAsia="仿宋_GB2312"/>
          <w:b/>
          <w:sz w:val="28"/>
          <w:szCs w:val="28"/>
        </w:rPr>
        <w:t xml:space="preserve">                             合同编号：{合同编号}</w:t>
      </w:r>
    </w:p>
    <w:p>
      <w:pPr>
        <w:jc w:val="center"/>
        <w:rPr>
          <w:rFonts w:hint="eastAsia"/>
          <w:b/>
          <w:sz w:val="18"/>
          <w:szCs w:val="18"/>
        </w:rPr>
      </w:pPr>
    </w:p>
    <w:p>
      <w:pPr>
        <w:jc w:val="center"/>
        <w:rPr>
          <w:rFonts w:hint="eastAsia" w:ascii="仿宋_GB2312" w:eastAsia="仿宋_GB2312"/>
          <w:sz w:val="44"/>
          <w:szCs w:val="44"/>
        </w:rPr>
      </w:pPr>
      <w:r>
        <w:rPr>
          <w:rFonts w:hint="eastAsia"/>
          <w:b/>
          <w:sz w:val="44"/>
          <w:szCs w:val="44"/>
        </w:rPr>
        <w:t>天津市建材商品买卖合同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出卖人（甲方）：{出卖人名称}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买受人（乙方）：{买受人名称}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为了维护消费者、经营者合法权益，依据《中华人民共和国合同法》、《中华人民共和国消费者权益保护法》及有关规定，遵循平等、自愿、公平和诚实信用的原则，经双方协商一致，签订本合同。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一、建材买卖基本情况</w:t>
      </w:r>
    </w:p>
    <w:tbl>
      <w:tblPr>
        <w:tblStyle w:val="4"/>
        <w:tblW w:w="87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132"/>
        <w:gridCol w:w="1082"/>
        <w:gridCol w:w="760"/>
        <w:gridCol w:w="391"/>
        <w:gridCol w:w="318"/>
        <w:gridCol w:w="708"/>
        <w:gridCol w:w="679"/>
        <w:gridCol w:w="30"/>
        <w:gridCol w:w="709"/>
        <w:gridCol w:w="391"/>
        <w:gridCol w:w="318"/>
        <w:gridCol w:w="1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11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商品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名称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规格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型号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商品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等级</w:t>
            </w:r>
          </w:p>
        </w:tc>
        <w:tc>
          <w:tcPr>
            <w:tcW w:w="7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材质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颜色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产地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单价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数量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总价</w:t>
            </w:r>
          </w:p>
        </w:tc>
        <w:tc>
          <w:tcPr>
            <w:tcW w:w="10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firstLine="181" w:firstLineChars="100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8755" w:type="dxa"/>
            <w:gridSpan w:val="1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货款总额：¥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元，大写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拾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万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仟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佰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元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角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firstLine="90" w:firstLineChars="50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送货验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firstLine="90" w:firstLineChars="50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收情况</w:t>
            </w:r>
          </w:p>
        </w:tc>
        <w:tc>
          <w:tcPr>
            <w:tcW w:w="3365" w:type="dxa"/>
            <w:gridSpan w:val="4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□验收合格    □货款两清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□拒收及原因：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□解决方案：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            </w:t>
            </w:r>
          </w:p>
        </w:tc>
        <w:tc>
          <w:tcPr>
            <w:tcW w:w="17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甲方（签字）</w:t>
            </w:r>
          </w:p>
        </w:tc>
        <w:tc>
          <w:tcPr>
            <w:tcW w:w="1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交货时间：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firstLine="181" w:firstLineChars="100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年 月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3365" w:type="dxa"/>
            <w:gridSpan w:val="4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70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乙方（签字）</w:t>
            </w:r>
          </w:p>
        </w:tc>
        <w:tc>
          <w:tcPr>
            <w:tcW w:w="1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vMerge w:val="continue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二、货款支付方式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1、□乙方在签约时一次性支付全部货款。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2、□乙方在签约时支付定金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{定金金额} 元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(不得超过商品总价的20%)，余款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{余款金额} 元应在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时{付款方式}清。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三、交货及验收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936" w:leftChars="184" w:hanging="550" w:hanging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1、□乙方自提：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年}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月}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{日}到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 提货。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750" w:leftChars="200" w:hanging="330" w:hangingChars="1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2、□甲方送货：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年}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月}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{日}前送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货至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乙方在接收商品时，须当场检验查收，无误的应签收；如发现问题应当场提出，书面确认。实木制品（实木贴面、封边、实木地板等商品）和天然石材存在自然色差及不同纹理是不可避免的。艺术玻璃图案比例、人工色差与样品略有差别，均属正常现象并非质量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四、商品非质量问题换货退货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1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1、接收商品后   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时间}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内，在无任何损坏且不影响二次销售的情况下，乙方可以要求换、退货，其费用由乙方承担。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1" w:firstLine="42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2、对装修后剩余材料（所购总数的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{百分比}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%以内）在商品无任何损坏且不影响二次销售的情况下，送货后30天内可以凭销售合同及相关单据按商品买卖合同单价全款退货，其费用由乙方承担。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1" w:firstLine="42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退货地点：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{退货地点}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1"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其中灯具、胶类、地毯，自售出之日起7日内包装完好无磨损可退货。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五、质量问题“三包”规定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5" w:firstLineChars="198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甲方对商品实行三包。如出现质量问题，甲方按《中华人民共和国消费者权益保护法》等法律法规规定，承担商品的 “{修理}、{更换}、{退货}”责任。甲方或主办单位做出对乙方更有利的责任承诺的，按照该承诺执行。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六、违约责任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（一）甲方违约责任：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1、建材商品经法定质量检验机构检验不符质量要求的，乙方可以依照国家规定、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sz w:val="22"/>
          <w:szCs w:val="22"/>
        </w:rPr>
        <w:instrText xml:space="preserve"> HYPERLINK "http://xingzheng.lawtime.cn/xzsscjrdangsiren/" \t "_blank" </w:instrTex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</w:rPr>
        <w:t>当事人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fldChar w:fldCharType="end"/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约定退货，或者要求甲方履行更换、修理等义务。没有国家规定和当事人约定的，乙方可以自收到商品之日起七日内退货；七日后符合法定解除合同条件的，乙方可以及时退货，不符合法定解除合同条件的，可以要求甲方履行更换、修理等义务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2、甲方迟延交货的，每日应向乙方支付迟延部分价款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{迟延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违约金比例}%的违约金；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迟延交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货超过{迟延天数}日的，除支付违约金外，乙方还有权解除合同，甲方已收取的定金、预付款或价款应全额返还，但乙方在不收取违约金的情况下有权要求甲方双倍返还定金。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（二）乙方违约责任：{乙方违约责任内容}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1、乙方迟延提货的，每日应向甲方支付迟延部分价款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{迟延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违约金比例}%的违约金；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2、乙方无正当理由单方解除合同的，应赔偿由此给甲方造成的损失，已支付的定金无权要求返还。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（三）经法定质量检验机构检验，建材商品的有害物质限量不符合国家标准的强制性要求的，乙方有权无条件退货，并要求甲方赔偿相应的检测费、交通费、误工费、损失费等损失，并承担总价款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{违约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金比例}% 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（四）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{内容}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七、争议解决方式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本合同发生争议，双方应协商解决。协商不成时，可向市场主办单位或消费者协会申请调解。当协商和调解不成，可采取以下第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{选择方式}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种方式解决：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{申请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仲裁机构} 仲裁委员会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申请仲裁。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735" w:hanging="770" w:hangingChars="3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2、向人民法院起诉。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如果甲方拒不执行仲裁裁决或法院判决，由市场主办单位向乙方进行先行赔付。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八、其他约定事项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2" w:firstLineChars="200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九、附则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本合同与合同附件具有同等法律效力。本合同经甲、乙双方盖章、签字之日起生效。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合同如有未尽事宜，须由{甲方}和{乙方}共同协商，签定补充协议，补充协议与本合同具有同等法律效力。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本合同一式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{{数量}}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份，其中甲方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{{甲方份数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}}份，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乙方{{乙方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份数}}份，市场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主办单位{{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主办单位份数}}份。均具有同等法律效力。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2" w:firstLineChars="200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{甲方（章）}                   {乙方（签字或盖章）}        {主办单位（章）}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地址：{地址}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法定代表人：{法定代表人名称}  </w:t>
        <w:br/>
        <w:t>法定代表人：{法定代表人名称}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电话：{联系电话}  </w:t>
        <w:br/>
        <w:t xml:space="preserve">电   话：{联系电话}  </w:t>
        <w:br/>
        <w:t>电话：{联系电话}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售后服务电话：{联系电话}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 w:val="0"/>
          <w:bCs/>
          <w:sz w:val="22"/>
          <w:szCs w:val="22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  <w:t>市市场监管委特别提示：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1、本市行政区域内的建材商品买卖适用本合同文本。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2、本合同文本仅供甲乙双方参照约定采用，需签订合同前仔细阅读。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3、签订合同前乙方要验看甲方的证、照、环保指标的质检报告及涉及“3C”产品需提供强制性认证证书。合同应加盖具有法人资格的合同专用章。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4、选择商品时应详细问清商品的品牌、产地、材质、价格、型号、注重甲方诚信度与售后服务口碑。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5、乙方可以登录市市场监管委官网查询下载该合同示范文本；甲方改动合同示范文本条款，并以制定机关名义及文本编号印制、使用，市场监管部门将依法处理。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213" w:right="1213" w:bottom="1213" w:left="121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C43BC"/>
    <w:rsid w:val="15D363DA"/>
    <w:rsid w:val="2F421C4D"/>
    <w:rsid w:val="3F4C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2022-02-16T09:50:00Z</dcterms:created>
  <dc:creator>王嘉杰</dc:creator>
  <cp:lastModifiedBy>袁弘信</cp:lastModifiedBy>
  <dcterms:modified xsi:type="dcterms:W3CDTF">2022-02-18T09:20:26Z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