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rPr>
          <w:sz w:val="28"/>
          <w:szCs w:val="28"/>
        </w:rPr>
      </w:pPr>
      <w:r>
        <w:rPr>
          <w:sz w:val="28"/>
          <w:szCs w:val="28"/>
        </w:rPr>
        <w:t>JF-2001-014</w:t>
      </w:r>
    </w:p>
    <w:p>
      <w:pPr>
        <w:pStyle w:val="Normal"/>
        <w:snapToGrid w:val="false"/>
        <w:spacing w:lineRule="auto" w:line="360"/>
        <w:ind w:firstLine="420" w:end="0"/>
        <w:rPr>
          <w:sz w:val="28"/>
          <w:szCs w:val="21"/>
        </w:rPr>
      </w:pPr>
      <w:r>
        <w:rPr>
          <w:sz w:val="28"/>
          <w:szCs w:val="21"/>
        </w:rPr>
      </w:r>
    </w:p>
    <w:p>
      <w:pPr>
        <w:pStyle w:val="Normal"/>
        <w:snapToGrid w:val="false"/>
        <w:spacing w:lineRule="auto" w:line="360"/>
        <w:ind w:firstLine="420" w:end="0"/>
        <w:rPr>
          <w:szCs w:val="21"/>
        </w:rPr>
      </w:pPr>
      <w:r>
        <w:rPr>
          <w:szCs w:val="21"/>
        </w:rPr>
      </w:r>
    </w:p>
    <w:p>
      <w:pPr>
        <w:pStyle w:val="Normal"/>
        <w:snapToGrid w:val="false"/>
        <w:spacing w:lineRule="auto" w:line="360"/>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天津市建设工程施工分包合同</w:t>
      </w:r>
    </w:p>
    <w:p>
      <w:pPr>
        <w:pStyle w:val="Normal"/>
        <w:snapToGrid w:val="false"/>
        <w:spacing w:lineRule="auto" w:line="360"/>
        <w:ind w:firstLine="420" w:end="0"/>
        <w:rPr>
          <w:rFonts w:ascii="方正小标宋_GBK" w:hAnsi="方正小标宋_GBK" w:eastAsia="方正小标宋_GBK" w:cs="方正小标宋_GBK"/>
          <w:sz w:val="40"/>
          <w:szCs w:val="21"/>
        </w:rPr>
      </w:pPr>
      <w:r>
        <w:rPr>
          <w:rFonts w:eastAsia="方正小标宋_GBK" w:cs="方正小标宋_GBK" w:ascii="方正小标宋_GBK" w:hAnsi="方正小标宋_GBK"/>
          <w:sz w:val="40"/>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start="1260" w:end="0"/>
        <w:rPr>
          <w:szCs w:val="21"/>
          <w:u w:val="single"/>
        </w:rPr>
      </w:pPr>
      <w:r>
        <w:rPr>
          <w:szCs w:val="21"/>
        </w:rPr>
        <w:t>工程名称：</w:t>
      </w:r>
      <w:r>
        <w:rPr>
          <w:rFonts w:eastAsia="Times New Roman"/>
          <w:szCs w:val="21"/>
          <w:u w:val="single"/>
        </w:rPr>
        <w:t>{工程名称}</w:t>
      </w:r>
    </w:p>
    <w:p>
      <w:pPr>
        <w:pStyle w:val="Normal"/>
        <w:snapToGrid w:val="false"/>
        <w:spacing w:lineRule="auto" w:line="360"/>
        <w:ind w:firstLine="420" w:start="1260" w:end="0"/>
        <w:rPr>
          <w:szCs w:val="21"/>
        </w:rPr>
      </w:pPr>
      <w:r>
        <w:rPr>
          <w:szCs w:val="21"/>
        </w:rPr>
        <w:t>工程编号：</w:t>
      </w:r>
      <w:r>
        <w:rPr>
          <w:rFonts w:eastAsia="Times New Roman"/>
          <w:szCs w:val="21"/>
          <w:u w:val="single"/>
        </w:rPr>
        <w:t>{工程编号}</w:t>
      </w:r>
    </w:p>
    <w:p>
      <w:pPr>
        <w:pStyle w:val="Normal"/>
        <w:snapToGrid w:val="false"/>
        <w:spacing w:lineRule="auto" w:line="360"/>
        <w:ind w:firstLine="420" w:start="1260" w:end="0"/>
        <w:rPr>
          <w:szCs w:val="21"/>
        </w:rPr>
      </w:pPr>
      <w:r>
        <w:rPr>
          <w:szCs w:val="21"/>
        </w:rPr>
        <w:t>建设单位：</w:t>
      </w:r>
      <w:r>
        <w:rPr>
          <w:rFonts w:eastAsia="Times New Roman"/>
          <w:szCs w:val="21"/>
          <w:u w:val="single"/>
        </w:rPr>
        <w:t>{建设单位名称}</w:t>
      </w:r>
    </w:p>
    <w:p>
      <w:pPr>
        <w:pStyle w:val="Normal"/>
        <w:snapToGrid w:val="false"/>
        <w:spacing w:lineRule="auto" w:line="360"/>
        <w:ind w:firstLine="420" w:start="1260" w:end="0"/>
        <w:rPr>
          <w:szCs w:val="21"/>
        </w:rPr>
      </w:pPr>
      <w:r>
        <w:rPr>
          <w:szCs w:val="21"/>
        </w:rPr>
        <w:t>施工单位：</w:t>
      </w:r>
      <w:r>
        <w:rPr>
          <w:rFonts w:eastAsia="Times New Roman"/>
          <w:szCs w:val="21"/>
          <w:u w:val="single"/>
        </w:rPr>
        <w:t xml:space="preserve">                     {施工单位}</w:t>
      </w:r>
    </w:p>
    <w:p>
      <w:pPr>
        <w:pStyle w:val="Normal"/>
        <w:snapToGrid w:val="false"/>
        <w:spacing w:lineRule="auto" w:line="360"/>
        <w:ind w:firstLine="420" w:start="1260" w:end="0"/>
        <w:rPr>
          <w:szCs w:val="21"/>
        </w:rPr>
      </w:pPr>
      <w:r>
        <w:rPr>
          <w:szCs w:val="21"/>
        </w:rPr>
        <w:t>签订日期：</w:t>
      </w:r>
      <w:r>
        <w:rPr>
          <w:rFonts w:eastAsia="Times New Roman"/>
          <w:szCs w:val="21"/>
          <w:u w:val="single"/>
        </w:rPr>
        <w:t>{签订日期}</w:t>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ind w:firstLine="420" w:start="1050" w:end="0"/>
        <w:rPr>
          <w:sz w:val="28"/>
          <w:szCs w:val="28"/>
        </w:rPr>
      </w:pPr>
      <w:r>
        <w:rPr>
          <w:sz w:val="28"/>
          <w:szCs w:val="28"/>
        </w:rPr>
        <w:t>天津市城乡建设委员会</w:t>
      </w:r>
      <w:r>
        <mc:AlternateContent>
          <mc:Choice Requires="wps">
            <w:drawing>
              <wp:anchor behindDoc="0" distT="0" distB="0" distL="114935" distR="114935" simplePos="0" locked="0" layoutInCell="1" allowOverlap="1" relativeHeight="17">
                <wp:simplePos x="0" y="0"/>
                <wp:positionH relativeFrom="column">
                  <wp:posOffset>2743200</wp:posOffset>
                </wp:positionH>
                <wp:positionV relativeFrom="paragraph">
                  <wp:posOffset>83185</wp:posOffset>
                </wp:positionV>
                <wp:extent cx="571500" cy="495300"/>
                <wp:effectExtent l="0" t="0" r="0" b="0"/>
                <wp:wrapNone/>
                <wp:docPr id="1" name="Frame1"/>
                <a:graphic xmlns:a="http://schemas.openxmlformats.org/drawingml/2006/main">
                  <a:graphicData uri="http://schemas.microsoft.com/office/word/2010/wordprocessingShape">
                    <wps:wsp>
                      <wps:cNvSpPr txBox="1"/>
                      <wps:spPr>
                        <a:xfrm>
                          <a:off x="0" y="0"/>
                          <a:ext cx="571500" cy="495300"/>
                        </a:xfrm>
                        <a:prstGeom prst="rect"/>
                        <a:solidFill>
                          <a:srgbClr val="FFFFFF"/>
                        </a:solidFill>
                      </wps:spPr>
                      <wps:txbx>
                        <w:txbxContent>
                          <w:p>
                            <w:pPr>
                              <w:pStyle w:val="Normal"/>
                              <w:rPr>
                                <w:sz w:val="30"/>
                                <w:szCs w:val="30"/>
                              </w:rPr>
                            </w:pPr>
                            <w:r>
                              <w:rPr>
                                <w:sz w:val="30"/>
                                <w:szCs w:val="30"/>
                              </w:rPr>
                              <w:t>监制</w:t>
                            </w:r>
                          </w:p>
                        </w:txbxContent>
                      </wps:txbx>
                      <wps:bodyPr anchor="t" lIns="92075" tIns="46355" rIns="92075" bIns="46355">
                        <a:noAutofit/>
                      </wps:bodyPr>
                    </wps:wsp>
                  </a:graphicData>
                </a:graphic>
              </wp:anchor>
            </w:drawing>
          </mc:Choice>
          <mc:Fallback>
            <w:pict>
              <v:rect fillcolor="#FFFFFF" style="position:absolute;rotation:-0;width:45pt;height:39pt;mso-wrap-distance-left:9.05pt;mso-wrap-distance-right:9.05pt;mso-wrap-distance-top:0pt;mso-wrap-distance-bottom:0pt;margin-top:6.55pt;mso-position-vertical-relative:text;margin-left:216pt;mso-position-horizontal-relative:text">
                <v:textbox inset="0.100694444444444in,0.0506944444444444in,0.100694444444444in,0.0506944444444444in">
                  <w:txbxContent>
                    <w:p>
                      <w:pPr>
                        <w:pStyle w:val="Normal"/>
                        <w:rPr>
                          <w:sz w:val="30"/>
                          <w:szCs w:val="30"/>
                        </w:rPr>
                      </w:pPr>
                      <w:r>
                        <w:rPr>
                          <w:sz w:val="30"/>
                          <w:szCs w:val="30"/>
                        </w:rPr>
                        <w:t>监制</w:t>
                      </w:r>
                    </w:p>
                  </w:txbxContent>
                </v:textbox>
                <w10:wrap type="none"/>
              </v:rect>
            </w:pict>
          </mc:Fallback>
        </mc:AlternateContent>
      </w:r>
    </w:p>
    <w:p>
      <w:pPr>
        <w:pStyle w:val="Normal"/>
        <w:snapToGrid w:val="false"/>
        <w:spacing w:lineRule="auto" w:line="360"/>
        <w:ind w:firstLine="560" w:start="945" w:end="0"/>
        <w:rPr>
          <w:szCs w:val="21"/>
        </w:rPr>
      </w:pPr>
      <w:r>
        <w:rPr>
          <w:sz w:val="28"/>
          <w:szCs w:val="28"/>
        </w:rPr>
        <w:t>天津市工商行政管理局</w:t>
      </w:r>
    </w:p>
    <w:p>
      <w:pPr>
        <w:pStyle w:val="Normal"/>
        <w:snapToGrid w:val="false"/>
        <w:spacing w:lineRule="auto" w:line="360"/>
        <w:rPr>
          <w:szCs w:val="21"/>
        </w:rPr>
      </w:pPr>
      <w:r>
        <w:rPr>
          <w:szCs w:val="21"/>
        </w:rPr>
      </w:r>
    </w:p>
    <w:p>
      <w:pPr>
        <w:pStyle w:val="Normal"/>
        <w:snapToGrid w:val="false"/>
        <w:spacing w:lineRule="auto" w:line="360"/>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天津市建设工程施工分包合同</w:t>
      </w:r>
    </w:p>
    <w:p>
      <w:pPr>
        <w:pStyle w:val="Normal"/>
        <w:snapToGrid w:val="false"/>
        <w:spacing w:lineRule="auto" w:line="360"/>
        <w:ind w:firstLine="420" w:end="0"/>
        <w:rPr>
          <w:rFonts w:ascii="方正小标宋_GBK" w:hAnsi="方正小标宋_GBK" w:eastAsia="方正小标宋_GBK" w:cs="方正小标宋_GBK"/>
          <w:sz w:val="40"/>
          <w:szCs w:val="21"/>
        </w:rPr>
      </w:pPr>
      <w:r>
        <w:rPr>
          <w:rFonts w:eastAsia="方正小标宋_GBK" w:cs="方正小标宋_GBK" w:ascii="方正小标宋_GBK" w:hAnsi="方正小标宋_GBK"/>
          <w:sz w:val="40"/>
          <w:szCs w:val="21"/>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总包方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{总包方名称}（以下简称甲方）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分包方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{分包方名称} （以下简称乙方）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依照《中华人民共和国经济合同法》、《建筑安装工程承包合同条例》、《建设工程施工合同》（</w:t>
      </w:r>
      <w:r>
        <w:rPr>
          <w:rFonts w:eastAsia="方正书宋_GBK" w:cs="方正书宋_GBK" w:ascii="方正书宋_GBK" w:hAnsi="方正书宋_GBK"/>
          <w:sz w:val="22"/>
          <w:szCs w:val="22"/>
        </w:rPr>
        <w:t>GF-91-0201</w:t>
      </w:r>
      <w:r>
        <w:rPr>
          <w:rFonts w:ascii="方正书宋_GBK" w:hAnsi="方正书宋_GBK" w:cs="方正书宋_GBK" w:eastAsia="方正书宋_GBK"/>
          <w:sz w:val="22"/>
          <w:szCs w:val="22"/>
        </w:rPr>
        <w:t>）及天津市有关规定，双方根据分工负责、配合协作的精神经充分协商一致，订立本合同，并严肃执行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第一条 工程概况</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1.1  </w:t>
      </w:r>
      <w:r>
        <w:rPr>
          <w:rFonts w:ascii="方正书宋_GBK" w:hAnsi="方正书宋_GBK" w:cs="方正书宋_GBK" w:eastAsia="方正书宋_GBK"/>
          <w:sz w:val="22"/>
          <w:szCs w:val="22"/>
        </w:rPr>
        <w:t>工程名称：{工程名称}</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  </w:t>
      </w:r>
      <w:r>
        <w:rPr>
          <w:rFonts w:ascii="方正书宋_GBK" w:hAnsi="方正书宋_GBK" w:cs="方正书宋_GBK" w:eastAsia="方正书宋_GBK"/>
          <w:sz w:val="22"/>
          <w:szCs w:val="22"/>
        </w:rPr>
        <w:t>工程地点：{工程地点}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 xml:space="preserve">1.3  </w:t>
      </w:r>
      <w:r>
        <w:rPr>
          <w:rFonts w:ascii="方正书宋_GBK" w:hAnsi="方正书宋_GBK" w:cs="方正书宋_GBK" w:eastAsia="方正书宋_GBK"/>
          <w:sz w:val="22"/>
          <w:szCs w:val="22"/>
        </w:rPr>
        <w:t>工程编号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施工许可证号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资质等级</w:t>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 xml:space="preserve">1.4  </w:t>
      </w:r>
      <w:r>
        <w:rPr>
          <w:rFonts w:ascii="方正书宋_GBK" w:hAnsi="方正书宋_GBK" w:cs="方正书宋_GBK" w:eastAsia="方正书宋_GBK"/>
          <w:sz w:val="22"/>
          <w:szCs w:val="22"/>
        </w:rPr>
        <w:t>工程内容：</w:t>
      </w:r>
      <w:r>
        <w:rPr>
          <w:rFonts w:ascii="方正书宋_GBK" w:hAnsi="方正书宋_GBK" w:cs="方正书宋_GBK" w:eastAsia="方正书宋_GBK"/>
          <w:sz w:val="22"/>
          <w:szCs w:val="22"/>
          <w:u w:val="single"/>
        </w:rPr>
        <w:t xml:space="preserve">                                            {工程内容}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 xml:space="preserve">1.5  </w:t>
      </w:r>
      <w:r>
        <w:rPr>
          <w:rFonts w:ascii="方正书宋_GBK" w:hAnsi="方正书宋_GBK" w:cs="方正书宋_GBK" w:eastAsia="方正书宋_GBK"/>
          <w:sz w:val="22"/>
          <w:szCs w:val="22"/>
        </w:rPr>
        <w:t>分包范围：</w:t>
      </w:r>
      <w:r>
        <w:rPr>
          <w:rFonts w:ascii="方正书宋_GBK" w:hAnsi="方正书宋_GBK" w:cs="方正书宋_GBK" w:eastAsia="方正书宋_GBK"/>
          <w:sz w:val="22"/>
          <w:szCs w:val="22"/>
          <w:u w:val="single"/>
        </w:rPr>
        <w:t xml:space="preserve">                                            {分包范围}</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 xml:space="preserve">1.6  </w:t>
      </w:r>
      <w:r>
        <w:rPr>
          <w:rFonts w:ascii="方正书宋_GBK" w:hAnsi="方正书宋_GBK" w:cs="方正书宋_GBK" w:eastAsia="方正书宋_GBK"/>
          <w:sz w:val="22"/>
          <w:szCs w:val="22"/>
        </w:rPr>
        <w:t>承包方式：</w:t>
      </w:r>
      <w:r>
        <w:rPr>
          <w:rFonts w:ascii="方正书宋_GBK" w:hAnsi="方正书宋_GBK" w:cs="方正书宋_GBK" w:eastAsia="方正书宋_GBK"/>
          <w:sz w:val="22"/>
          <w:szCs w:val="22"/>
          <w:u w:val="single"/>
        </w:rPr>
        <w:t xml:space="preserve">                                            {承包方式}</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 xml:space="preserve">1.7  </w:t>
      </w:r>
      <w:r>
        <w:rPr>
          <w:rFonts w:ascii="方正书宋_GBK" w:hAnsi="方正书宋_GBK" w:cs="方正书宋_GBK" w:eastAsia="方正书宋_GBK"/>
          <w:sz w:val="22"/>
          <w:szCs w:val="22"/>
        </w:rPr>
        <w:t>工程期限：本工程自</w:t>
      </w:r>
      <w:r>
        <w:rPr>
          <w:rFonts w:ascii="方正书宋_GBK" w:hAnsi="方正书宋_GBK" w:cs="方正书宋_GBK" w:eastAsia="方正书宋_GBK"/>
          <w:sz w:val="22"/>
          <w:szCs w:val="22"/>
          <w:u w:val="single"/>
        </w:rPr>
        <w:t xml:space="preserve"> {年份} 年 {月份</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月 {日期}</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日开工，至 {</w:t>
      </w:r>
      <w:r>
        <w:rPr>
          <w:rFonts w:ascii="方正书宋_GBK" w:hAnsi="方正书宋_GBK" w:cs="方正书宋_GBK" w:eastAsia="方正书宋_GBK"/>
          <w:sz w:val="22"/>
          <w:szCs w:val="22"/>
        </w:rPr>
        <w:t>年份} 年</w:t>
      </w:r>
      <w:r>
        <w:rPr>
          <w:rFonts w:ascii="方正书宋_GBK" w:hAnsi="方正书宋_GBK" w:cs="方正书宋_GBK" w:eastAsia="方正书宋_GBK"/>
          <w:sz w:val="22"/>
          <w:szCs w:val="22"/>
          <w:u w:val="single"/>
        </w:rPr>
        <w:t xml:space="preserve"> {月份} 月 {日期}</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日止全部完工。经</w:t>
      </w:r>
      <w:r>
        <w:rPr>
          <w:rFonts w:ascii="方正书宋_GBK" w:hAnsi="方正书宋_GBK" w:cs="方正书宋_GBK" w:eastAsia="方正书宋_GBK"/>
          <w:sz w:val="22"/>
          <w:szCs w:val="22"/>
        </w:rPr>
        <w:t>双</w:t>
      </w:r>
      <w:r>
        <w:rPr>
          <w:rFonts w:ascii="方正书宋_GBK" w:hAnsi="方正书宋_GBK" w:cs="方正书宋_GBK" w:eastAsia="方正书宋_GBK"/>
          <w:sz w:val="22"/>
          <w:szCs w:val="22"/>
          <w:u w:val="single"/>
        </w:rPr>
        <w:t>方协商，按合同工</w:t>
      </w:r>
      <w:r>
        <w:rPr>
          <w:rFonts w:ascii="方正书宋_GBK" w:hAnsi="方正书宋_GBK" w:cs="方正书宋_GBK" w:eastAsia="方正书宋_GBK"/>
          <w:sz w:val="22"/>
          <w:szCs w:val="22"/>
        </w:rPr>
        <w:t>期每提前一天竣工，甲方按 {奖励金额} 付给乙方工期奖。</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发生下列情况，经甲方确认，乙方办理工期签证，顺延合同工期：{具体情况}</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、人力不可抗拒的灾害而被迫停工者；</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、甲方变更计划和设计而影响施工者；</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、甲方未按期拨付工程款影响施工者；</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、临时停水停电一天以上者；</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、其它非乙方责任影响施工者；</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 xml:space="preserve">1.8  </w:t>
      </w:r>
      <w:r>
        <w:rPr>
          <w:rFonts w:ascii="方正书宋_GBK" w:hAnsi="方正书宋_GBK" w:cs="方正书宋_GBK" w:eastAsia="方正书宋_GBK"/>
          <w:sz w:val="22"/>
          <w:szCs w:val="22"/>
        </w:rPr>
        <w:t>工程质量等级：</w:t>
      </w:r>
      <w:r>
        <w:rPr>
          <w:rFonts w:ascii="方正书宋_GBK" w:hAnsi="方正书宋_GBK" w:cs="方正书宋_GBK" w:eastAsia="方正书宋_GBK"/>
          <w:sz w:val="22"/>
          <w:szCs w:val="22"/>
          <w:u w:val="single"/>
        </w:rPr>
        <w:t>{工程质量等级}</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 xml:space="preserve">1.9  </w:t>
      </w:r>
      <w:r>
        <w:rPr>
          <w:rFonts w:ascii="方正书宋_GBK" w:hAnsi="方正书宋_GBK" w:cs="方正书宋_GBK" w:eastAsia="方正书宋_GBK"/>
          <w:sz w:val="22"/>
          <w:szCs w:val="22"/>
        </w:rPr>
        <w:t>合同价款：</w:t>
      </w:r>
      <w:r>
        <w:rPr>
          <w:rFonts w:ascii="方正书宋_GBK" w:hAnsi="方正书宋_GBK" w:cs="方正书宋_GBK" w:eastAsia="方正书宋_GBK"/>
          <w:sz w:val="22"/>
          <w:szCs w:val="22"/>
          <w:u w:val="single"/>
        </w:rPr>
        <w:t xml:space="preserve">                                            {合同价款}</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本合同造价为人民币（大写）：</w:t>
      </w:r>
      <w:r>
        <w:rPr>
          <w:rFonts w:ascii="方正书宋_GBK" w:hAnsi="方正书宋_GBK" w:cs="方正书宋_GBK" w:eastAsia="方正书宋_GBK"/>
          <w:sz w:val="22"/>
          <w:szCs w:val="22"/>
          <w:u w:val="single"/>
        </w:rPr>
        <w:t>{金额}</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 xml:space="preserve">1.10  </w:t>
      </w:r>
      <w:r>
        <w:rPr>
          <w:rFonts w:ascii="方正书宋_GBK" w:hAnsi="方正书宋_GBK" w:cs="方正书宋_GBK" w:eastAsia="方正书宋_GBK"/>
          <w:sz w:val="22"/>
          <w:szCs w:val="22"/>
        </w:rPr>
        <w:t>乙方按入施工人数：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{人数}。</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1.11  </w:t>
      </w:r>
      <w:r>
        <w:rPr>
          <w:rFonts w:ascii="方正书宋_GBK" w:hAnsi="方正书宋_GBK" w:cs="方正书宋_GBK" w:eastAsia="方正书宋_GBK"/>
          <w:sz w:val="22"/>
          <w:szCs w:val="22"/>
        </w:rPr>
        <w:t>分包工程项目一览表（附表一）（附后）</w:t>
      </w:r>
    </w:p>
    <w:p>
      <w:pPr>
        <w:pStyle w:val="Normal"/>
        <w:keepNext w:val="false"/>
        <w:keepLines w:val="false"/>
        <w:pageBreakBefore w:val="false"/>
        <w:widowControl w:val="false"/>
        <w:kinsoku w:val="true"/>
        <w:overflowPunct w:val="true"/>
        <w:autoSpaceDE w:val="true"/>
        <w:bidi w:val="0"/>
        <w:snapToGrid w:val="false"/>
        <w:spacing w:lineRule="exact" w:line="420"/>
        <w:ind w:firstLine="11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分包工程人工单价表（附表二）（附后）</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 xml:space="preserve">1.12  </w:t>
      </w:r>
      <w:r>
        <w:rPr>
          <w:rFonts w:ascii="方正书宋_GBK" w:hAnsi="方正书宋_GBK" w:cs="方正书宋_GBK" w:eastAsia="方正书宋_GBK"/>
          <w:sz w:val="22"/>
          <w:szCs w:val="22"/>
        </w:rPr>
        <w:t>甲方驻工地代表姓名</w:t>
      </w:r>
      <w:r>
        <w:rPr>
          <w:rFonts w:ascii="方正书宋_GBK" w:hAnsi="方正书宋_GBK" w:cs="方正书宋_GBK" w:eastAsia="方正书宋_GBK"/>
          <w:sz w:val="22"/>
          <w:szCs w:val="22"/>
          <w:u w:val="single"/>
        </w:rPr>
        <w:t xml:space="preserve"> {代表姓名}</w:t>
      </w:r>
    </w:p>
    <w:p>
      <w:pPr>
        <w:pStyle w:val="Normal"/>
        <w:keepNext w:val="false"/>
        <w:keepLines w:val="false"/>
        <w:pageBreakBefore w:val="false"/>
        <w:widowControl w:val="false"/>
        <w:kinsoku w:val="true"/>
        <w:overflowPunct w:val="true"/>
        <w:autoSpaceDE w:val="true"/>
        <w:bidi w:val="0"/>
        <w:snapToGrid w:val="false"/>
        <w:spacing w:lineRule="exact" w:line="420"/>
        <w:ind w:firstLine="11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{乙方驻工地代表姓</w:t>
      </w:r>
      <w:r>
        <w:rPr>
          <w:rFonts w:ascii="方正书宋_GBK" w:hAnsi="方正书宋_GBK" w:cs="方正书宋_GBK" w:eastAsia="方正书宋_GBK"/>
          <w:sz w:val="22"/>
          <w:szCs w:val="22"/>
          <w:u w:val="single"/>
        </w:rPr>
        <w:t>名}</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第二条  工程质量</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2.1  </w:t>
      </w:r>
      <w:r>
        <w:rPr>
          <w:rFonts w:ascii="方正书宋_GBK" w:hAnsi="方正书宋_GBK" w:cs="方正书宋_GBK" w:eastAsia="方正书宋_GBK"/>
          <w:sz w:val="22"/>
          <w:szCs w:val="22"/>
        </w:rPr>
        <w:t>甲方根据国家质量验收规范和评定标准对乙方进行技术交底和组织验收，承担因技术交底要求不正确影响工程质量的责任。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2.2  </w:t>
      </w:r>
      <w:r>
        <w:rPr>
          <w:rFonts w:ascii="方正书宋_GBK" w:hAnsi="方正书宋_GBK" w:cs="方正书宋_GBK" w:eastAsia="方正书宋_GBK"/>
          <w:sz w:val="22"/>
          <w:szCs w:val="22"/>
        </w:rPr>
        <w:t>乙方按照国家颁发的施工验收规范和质量检验标准以施工图纸、{设计变更}、甲方交底说明为依据，精心组织施工，全部工程质量达到合格要求。质量约定为优良的，要达到优良标准，甲方承担相应费用。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2.3  </w:t>
      </w:r>
      <w:r>
        <w:rPr>
          <w:rFonts w:ascii="方正书宋_GBK" w:hAnsi="方正书宋_GBK" w:cs="方正书宋_GBK" w:eastAsia="方正书宋_GBK"/>
          <w:sz w:val="22"/>
          <w:szCs w:val="22"/>
        </w:rPr>
        <w:t>严格执行隐蔽工程验收制度，凡隐蔽工程完成后，乙方必须经验收、记录后，方可继续下一工序施工。对重大、复杂隐蔽工程，由乙方通知甲方共同{验收}，办理{隐蔽工程验收手续}。</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2.4  </w:t>
      </w:r>
      <w:r>
        <w:rPr>
          <w:rFonts w:ascii="方正书宋_GBK" w:hAnsi="方正书宋_GBK" w:cs="方正书宋_GBK" w:eastAsia="方正书宋_GBK"/>
          <w:sz w:val="22"/>
          <w:szCs w:val="22"/>
        </w:rPr>
        <w:t>工程竣工验收后，乙方对施工的工程质量负责保修一年（{采暖工程时间}），在保修期内，因乙方施工质量问题，乙方负责无偿修理。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第三条  {物质供应及管理}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 xml:space="preserve">3.1  </w:t>
      </w:r>
      <w:r>
        <w:rPr>
          <w:rFonts w:ascii="方正书宋_GBK" w:hAnsi="方正书宋_GBK" w:cs="方正书宋_GBK" w:eastAsia="方正书宋_GBK"/>
          <w:sz w:val="22"/>
          <w:szCs w:val="22"/>
        </w:rPr>
        <w:t>分包工程所需物质按下列第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{选项} 项方式办理：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）甲方负责主要材料、设备的采购、供应工作，其综材料由乙方负责采购、供应。</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（甲供物资详附表三）</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）乙方负责分包工程所需全部材料、设备的采购、供应、保管工作。所购置材料、设备应持有产品合格证。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）包工不包料工程，甲方负责分包工程所需全部材料、设备的采购、供应工作。乙方设专人向甲方办理限额领料手续。</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3.2  </w:t>
      </w:r>
      <w:r>
        <w:rPr>
          <w:rFonts w:ascii="方正书宋_GBK" w:hAnsi="方正书宋_GBK" w:cs="方正书宋_GBK" w:eastAsia="方正书宋_GBK"/>
          <w:sz w:val="22"/>
          <w:szCs w:val="22"/>
        </w:rPr>
        <w:t>由甲方负责供应乙方使用的材料、设备，乙方应严格按照施工质量要求和工艺要求{施工要求}认真施工。乙方在施工中，因用料浪费、质量返工及不合理的超出限额用料部分，由乙方承担相应{损失金额}。</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3.3  </w:t>
      </w:r>
      <w:r>
        <w:rPr>
          <w:rFonts w:ascii="方正书宋_GBK" w:hAnsi="方正书宋_GBK" w:cs="方正书宋_GBK" w:eastAsia="方正书宋_GBK"/>
          <w:sz w:val="22"/>
          <w:szCs w:val="22"/>
        </w:rPr>
        <w:t>甲方供应材料、设备结算时间为：{结算时间}</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3.4  </w:t>
      </w:r>
      <w:r>
        <w:rPr>
          <w:rFonts w:ascii="方正书宋_GBK" w:hAnsi="方正书宋_GBK" w:cs="方正书宋_GBK" w:eastAsia="方正书宋_GBK"/>
          <w:sz w:val="22"/>
          <w:szCs w:val="22"/>
        </w:rPr>
        <w:t>{甲方或乙方}对自己负责供应的材料、设备如不能按期、保质、保量供应，所造成的一切损失均由{责任方}承担。</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第四条 施工机具供应及管理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 xml:space="preserve">4.1  </w:t>
      </w:r>
      <w:r>
        <w:rPr>
          <w:rFonts w:ascii="方正书宋_GBK" w:hAnsi="方正书宋_GBK" w:cs="方正书宋_GBK" w:eastAsia="方正书宋_GBK"/>
          <w:sz w:val="22"/>
          <w:szCs w:val="22"/>
        </w:rPr>
        <w:t>分包工程所需施工机具按下列第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{选项}             项方式供应：</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）甲方负责提供分包工程施工所需垂直、水平运输机械及其它施工机具，乙方按有关规定向甲方支付相应费用，在竣工结算中一并扣除。（具体使用机具的名称、数量、金额按附表四列出）</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）乙方负责分包工程所需的垂直、水平运输机械及其它施工机具的供应、操作、保管工作。</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）包工不包料工程，由甲方负责全部施工机具的供应、操作保管工作，保证乙方正常施工。（乙方自带机械，按有关规定办理）手持工具由乙方自理。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4.2  </w:t>
      </w:r>
      <w:r>
        <w:rPr>
          <w:rFonts w:ascii="方正书宋_GBK" w:hAnsi="方正书宋_GBK" w:cs="方正书宋_GBK" w:eastAsia="方正书宋_GBK"/>
          <w:sz w:val="22"/>
          <w:szCs w:val="22"/>
        </w:rPr>
        <w:t>由甲方提供乙方使用的施工机具，乙方应认真保管，发生损坏{赔偿内容}，负责赔偿。对乙方操作使用甲方提供的机具时，需持上岗证的要有{相关规定}。</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4.3  </w:t>
      </w:r>
      <w:r>
        <w:rPr>
          <w:rFonts w:ascii="方正书宋_GBK" w:hAnsi="方正书宋_GBK" w:cs="方正书宋_GBK" w:eastAsia="方正书宋_GBK"/>
          <w:sz w:val="22"/>
          <w:szCs w:val="22"/>
        </w:rPr>
        <w:t>{责任方}自己负责提供的施工机具如不能保证施工需要，所造成的一切损失由{责任方}承担。</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第五条 工程款支付与结算</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5.1  </w:t>
      </w:r>
      <w:r>
        <w:rPr>
          <w:rFonts w:ascii="方正书宋_GBK" w:hAnsi="方正书宋_GBK" w:cs="方正书宋_GBK" w:eastAsia="方正书宋_GBK"/>
          <w:sz w:val="22"/>
          <w:szCs w:val="22"/>
        </w:rPr>
        <w:t>在合同签订后十天内，甲方按合同造价</w:t>
      </w:r>
      <w:r>
        <w:rPr>
          <w:rFonts w:ascii="方正书宋_GBK" w:hAnsi="方正书宋_GBK" w:cs="方正书宋_GBK" w:eastAsia="方正书宋_GBK"/>
          <w:sz w:val="22"/>
          <w:szCs w:val="22"/>
          <w:u w:val="single"/>
        </w:rPr>
        <w:t>{预付款比例}%</w:t>
      </w:r>
      <w:r>
        <w:rPr>
          <w:rFonts w:eastAsia="方正书宋_GBK" w:cs="方正书宋_GBK" w:ascii="方正书宋_GBK" w:hAnsi="方正书宋_GBK"/>
          <w:sz w:val="22"/>
          <w:szCs w:val="22"/>
        </w:rPr>
        <w:t>预</w:t>
      </w:r>
      <w:r>
        <w:rPr>
          <w:rFonts w:ascii="方正书宋_GBK" w:hAnsi="方正书宋_GBK" w:cs="方正书宋_GBK" w:eastAsia="方正书宋_GBK"/>
          <w:sz w:val="22"/>
          <w:szCs w:val="22"/>
        </w:rPr>
        <w:t>付乙方工程备料款。工程进度至{</w:t>
      </w:r>
      <w:r>
        <w:rPr>
          <w:rFonts w:ascii="方正书宋_GBK" w:hAnsi="方正书宋_GBK" w:cs="方正书宋_GBK" w:eastAsia="方正书宋_GBK"/>
          <w:sz w:val="22"/>
          <w:szCs w:val="22"/>
          <w:u w:val="single"/>
        </w:rPr>
        <w:t>抵扣条件}时，预付备料款开始抵扣工程款</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 xml:space="preserve">5.2  </w:t>
      </w:r>
      <w:r>
        <w:rPr>
          <w:rFonts w:ascii="方正书宋_GBK" w:hAnsi="方正书宋_GBK" w:cs="方正书宋_GBK" w:eastAsia="方正书宋_GBK"/>
          <w:sz w:val="22"/>
          <w:szCs w:val="22"/>
        </w:rPr>
        <w:t>工程开工后，工程款拨付办法为：</w:t>
      </w:r>
      <w:r>
        <w:rPr>
          <w:rFonts w:ascii="方正书宋_GBK" w:hAnsi="方正书宋_GBK" w:cs="方正书宋_GBK" w:eastAsia="方正书宋_GBK"/>
          <w:sz w:val="22"/>
          <w:szCs w:val="22"/>
          <w:u w:val="single"/>
        </w:rPr>
        <w:t>{工程款拨付办法}</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工程款拨付幅度不超过合同价款的</w:t>
      </w:r>
      <w:r>
        <w:rPr>
          <w:rFonts w:eastAsia="方正书宋_GBK" w:cs="方正书宋_GBK" w:ascii="方正书宋_GBK" w:hAnsi="方正书宋_GBK"/>
          <w:sz w:val="22"/>
          <w:szCs w:val="22"/>
        </w:rPr>
        <w:t>95%</w:t>
      </w:r>
      <w:r>
        <w:rPr>
          <w:rFonts w:ascii="方正书宋_GBK" w:hAnsi="方正书宋_GBK" w:cs="方正书宋_GBK" w:eastAsia="方正书宋_GBK"/>
          <w:sz w:val="22"/>
          <w:szCs w:val="22"/>
        </w:rPr>
        <w:t>，其余尾款在工程竣工验收后办理结算，待保修期满后，付清尾款。</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5.3  </w:t>
      </w:r>
      <w:r>
        <w:rPr>
          <w:rFonts w:ascii="方正书宋_GBK" w:hAnsi="方正书宋_GBK" w:cs="方正书宋_GBK" w:eastAsia="方正书宋_GBK"/>
          <w:sz w:val="22"/>
          <w:szCs w:val="22"/>
        </w:rPr>
        <w:t>包工不包料工程，按分包工程项目，第一个月甲方预支乙方生活费，按合同人数，每人</w:t>
      </w:r>
      <w:r>
        <w:rPr>
          <w:rFonts w:ascii="方正书宋_GBK" w:hAnsi="方正书宋_GBK" w:cs="方正书宋_GBK" w:eastAsia="方正书宋_GBK"/>
          <w:sz w:val="22"/>
          <w:szCs w:val="22"/>
          <w:u w:val="single"/>
        </w:rPr>
        <w:t>{生活费金额}元计算。次</w:t>
      </w:r>
      <w:r>
        <w:rPr>
          <w:rFonts w:ascii="方正书宋_GBK" w:hAnsi="方正书宋_GBK" w:cs="方正书宋_GBK" w:eastAsia="方正书宋_GBK"/>
          <w:sz w:val="22"/>
          <w:szCs w:val="22"/>
        </w:rPr>
        <w:t>月结算时扣回。在工程施工中，按当月完成的验收合格工程量预结（幅度不超过已完成的80%），</w:t>
      </w:r>
      <w:r>
        <w:rPr>
          <w:rFonts w:eastAsia="方正书宋_GBK" w:cs="方正书宋_GBK" w:ascii="方正书宋_GBK" w:hAnsi="方正书宋_GBK"/>
          <w:sz w:val="22"/>
          <w:szCs w:val="22"/>
        </w:rPr>
        <w:t>工程竣</w:t>
      </w:r>
      <w:r>
        <w:rPr>
          <w:rFonts w:ascii="方正书宋_GBK" w:hAnsi="方正书宋_GBK" w:cs="方正书宋_GBK" w:eastAsia="方正书宋_GBK"/>
          <w:sz w:val="22"/>
          <w:szCs w:val="22"/>
        </w:rPr>
        <w:t>工后，经甲乙双方共同验收合格后予以结算。</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第六条 竣工验收及试车</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6.1  </w:t>
      </w:r>
      <w:r>
        <w:rPr>
          <w:rFonts w:ascii="方正书宋_GBK" w:hAnsi="方正书宋_GBK" w:cs="方正书宋_GBK" w:eastAsia="方正书宋_GBK"/>
          <w:sz w:val="22"/>
          <w:szCs w:val="22"/>
        </w:rPr>
        <w:t>工程具备竣工验收条件，乙方于竣工前</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日内以书面形式通知{甲方}验收。如{甲方}不能按时参加，提前通知乙方，另订验收日期，{甲方}承认其竣工日期。</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6.2  </w:t>
      </w:r>
      <w:r>
        <w:rPr>
          <w:rFonts w:ascii="方正书宋_GBK" w:hAnsi="方正书宋_GBK" w:cs="方正书宋_GBK" w:eastAsia="方正书宋_GBK"/>
          <w:sz w:val="22"/>
          <w:szCs w:val="22"/>
        </w:rPr>
        <w:t>竣工验收中发现不合格而需返工部分，属于分包方施工过失的由{乙方}在双方商定的期限内修好重新报验；属于其它方原因的，由{责任方}负责。</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6.3  </w:t>
      </w:r>
      <w:r>
        <w:rPr>
          <w:rFonts w:ascii="方正书宋_GBK" w:hAnsi="方正书宋_GBK" w:cs="方正书宋_GBK" w:eastAsia="方正书宋_GBK"/>
          <w:sz w:val="22"/>
          <w:szCs w:val="22"/>
        </w:rPr>
        <w:t>甲乙双方施工时，应做好保护其它单位已经完成和办好交接的工程工作，如有损坏，由{责任方}承担修理费用。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6.4  </w:t>
      </w:r>
      <w:r>
        <w:rPr>
          <w:rFonts w:ascii="方正书宋_GBK" w:hAnsi="方正书宋_GBK" w:cs="方正书宋_GBK" w:eastAsia="方正书宋_GBK"/>
          <w:sz w:val="22"/>
          <w:szCs w:val="22"/>
        </w:rPr>
        <w:t>工程未经验收，甲方擅自动用，由此发生的{质量问题}或其它{问题}，由甲方承担。</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6.5  </w:t>
      </w:r>
      <w:r>
        <w:rPr>
          <w:rFonts w:ascii="方正书宋_GBK" w:hAnsi="方正书宋_GBK" w:cs="方正书宋_GBK" w:eastAsia="方正书宋_GBK"/>
          <w:sz w:val="22"/>
          <w:szCs w:val="22"/>
        </w:rPr>
        <w:t>试车。设备安装工程具备单机无负荷试车条件，由乙方组织试车，并在试车前</w:t>
      </w:r>
      <w:r>
        <w:rPr>
          <w:rFonts w:eastAsia="方正书宋_GBK" w:cs="方正书宋_GBK" w:ascii="方正书宋_GBK" w:hAnsi="方正书宋_GBK"/>
          <w:sz w:val="22"/>
          <w:szCs w:val="22"/>
        </w:rPr>
        <w:t>48</w:t>
      </w:r>
      <w:r>
        <w:rPr>
          <w:rFonts w:ascii="方正书宋_GBK" w:hAnsi="方正书宋_GBK" w:cs="方正书宋_GBK" w:eastAsia="方正书宋_GBK"/>
          <w:sz w:val="22"/>
          <w:szCs w:val="22"/>
        </w:rPr>
        <w:t>小时通知{甲方}，{甲方}提供必要条件，乙方准备试车记录。试车通过{甲方}签字并承担试车费用；具备联动无负荷试车条件，由{甲方}组</w:t>
      </w:r>
      <w:r>
        <w:rPr>
          <w:rFonts w:eastAsia="方正书宋_GBK" w:cs="方正书宋_GBK" w:ascii="方正书宋_GBK" w:hAnsi="方正书宋_GBK"/>
          <w:sz w:val="22"/>
          <w:szCs w:val="22"/>
        </w:rPr>
        <w:t>织试</w:t>
      </w:r>
      <w:r>
        <w:rPr>
          <w:rFonts w:ascii="方正书宋_GBK" w:hAnsi="方正书宋_GBK" w:cs="方正书宋_GBK" w:eastAsia="方正书宋_GBK"/>
          <w:sz w:val="22"/>
          <w:szCs w:val="22"/>
        </w:rPr>
        <w:t>车，并在试车48小时前，通知{乙方}试车的内容、时间、地点，{乙方}做好准备，试车通过，双方在试车记录上签字，方可进行竣工验收。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6.6  </w:t>
      </w:r>
      <w:r>
        <w:rPr>
          <w:rFonts w:ascii="方正书宋_GBK" w:hAnsi="方正书宋_GBK" w:cs="方正书宋_GBK" w:eastAsia="方正书宋_GBK"/>
          <w:sz w:val="22"/>
          <w:szCs w:val="22"/>
        </w:rPr>
        <w:t>试车不合格部分，属于安装原因的，由乙方负责；属于设备构造原因的，由采购方负责；属于设计及其它原因的，由甲方会同有关方面解决，由此发生的各项费用，均由责任方承担。</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第七条  {供应服务及费用支出}</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7.1  </w:t>
      </w:r>
      <w:r>
        <w:rPr>
          <w:rFonts w:ascii="方正书宋_GBK" w:hAnsi="方正书宋_GBK" w:cs="方正书宋_GBK" w:eastAsia="方正书宋_GBK"/>
          <w:sz w:val="22"/>
          <w:szCs w:val="22"/>
        </w:rPr>
        <w:t>甲方负责提供分包工程所需施工临时设施，供乙方使用，乙方按有关规定，向甲方支付相应费用，在{竣工结算}中扣除。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（临时设施使用内容，期限、金额按附表五填列）</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7.2  </w:t>
      </w:r>
      <w:r>
        <w:rPr>
          <w:rFonts w:ascii="方正书宋_GBK" w:hAnsi="方正书宋_GBK" w:cs="方正书宋_GBK" w:eastAsia="方正书宋_GBK"/>
          <w:sz w:val="22"/>
          <w:szCs w:val="22"/>
        </w:rPr>
        <w:t>甲方负责提供分包工程所需{水}、{电}等，乙方安装计量装置，抄量收费，在竣工结算中扣除。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7.3  </w:t>
      </w:r>
      <w:r>
        <w:rPr>
          <w:rFonts w:ascii="方正书宋_GBK" w:hAnsi="方正书宋_GBK" w:cs="方正书宋_GBK" w:eastAsia="方正书宋_GBK"/>
          <w:sz w:val="22"/>
          <w:szCs w:val="22"/>
        </w:rPr>
        <w:t>列入分包合同的工程，均由乙方自力完成，如需甲方配合，提供辅助工人，经双方协商，乙方承担相应人员{联系电话}及费用，在竣工结算中扣除。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7.4  </w:t>
      </w:r>
      <w:r>
        <w:rPr>
          <w:rFonts w:ascii="方正书宋_GBK" w:hAnsi="方正书宋_GBK" w:cs="方正书宋_GBK" w:eastAsia="方正书宋_GBK"/>
          <w:sz w:val="22"/>
          <w:szCs w:val="22"/>
        </w:rPr>
        <w:t>包工不包料工程，乙方工人进场后，由甲方负责提供人员{住宿条件}及主要炊事用具。小型零星用具等均由乙方自理。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第八条 现场管理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8.1  </w:t>
      </w:r>
      <w:r>
        <w:rPr>
          <w:rFonts w:ascii="方正书宋_GBK" w:hAnsi="方正书宋_GBK" w:cs="方正书宋_GBK" w:eastAsia="方正书宋_GBK"/>
          <w:sz w:val="22"/>
          <w:szCs w:val="22"/>
        </w:rPr>
        <w:t>甲乙双方人员要严格遵守现场各项管理制度，在甲方现场负责人统一领导下组织施工。有关计划、进度，材料供应等双方应密切配合，保证施工顺利进行。{联系制度}要建立{联系制度}，定期召开联席会议，统一协调施工步调。</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8.2  </w:t>
      </w:r>
      <w:r>
        <w:rPr>
          <w:rFonts w:ascii="方正书宋_GBK" w:hAnsi="方正书宋_GBK" w:cs="方正书宋_GBK" w:eastAsia="方正书宋_GBK"/>
          <w:sz w:val="22"/>
          <w:szCs w:val="22"/>
        </w:rPr>
        <w:t>甲乙双方应对施工人行进行遵纪守法和安全生产、爱护财产的教育，设专人负责{现场保卫工作}。</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8.3  </w:t>
      </w:r>
      <w:r>
        <w:rPr>
          <w:rFonts w:ascii="方正书宋_GBK" w:hAnsi="方正书宋_GBK" w:cs="方正书宋_GBK" w:eastAsia="方正书宋_GBK"/>
          <w:sz w:val="22"/>
          <w:szCs w:val="22"/>
        </w:rPr>
        <w:t>乙方施工人员要保持相对稳定，出入施工现场应佩戴{标志}，禁止非施工人员出入{现场}和{住宿区}。</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第九条  安全生产</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9.1  </w:t>
      </w:r>
      <w:r>
        <w:rPr>
          <w:rFonts w:ascii="方正书宋_GBK" w:hAnsi="方正书宋_GBK" w:cs="方正书宋_GBK" w:eastAsia="方正书宋_GBK"/>
          <w:sz w:val="22"/>
          <w:szCs w:val="22"/>
        </w:rPr>
        <w:t>甲方负责对乙方承担的工程进行安全交底，提出明确的安全生产要求，并进行监督检查。{乙方需遵守的内容}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9.2  </w:t>
      </w:r>
      <w:r>
        <w:rPr>
          <w:rFonts w:ascii="方正书宋_GBK" w:hAnsi="方正书宋_GBK" w:cs="方正书宋_GBK" w:eastAsia="方正书宋_GBK"/>
          <w:sz w:val="22"/>
          <w:szCs w:val="22"/>
        </w:rPr>
        <w:t>劳动保护用品及施工中属个人使用的带电操作用具（{劳动保护用品}、{绝缘手套}、{胶鞋}等）由乙方自行配备。</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9.3  </w:t>
      </w:r>
      <w:r>
        <w:rPr>
          <w:rFonts w:ascii="方正书宋_GBK" w:hAnsi="方正书宋_GBK" w:cs="方正书宋_GBK" w:eastAsia="方正书宋_GBK"/>
          <w:sz w:val="22"/>
          <w:szCs w:val="22"/>
        </w:rPr>
        <w:t>乙方在{施工地点}动力设备、高压线路、地下管道、易燃、易爆地段及交通要道附近施工前，应向甲方提出{安全保护措施}，经批准后实施，甲方承担相应费用。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9.4  </w:t>
      </w:r>
      <w:r>
        <w:rPr>
          <w:rFonts w:ascii="方正书宋_GBK" w:hAnsi="方正书宋_GBK" w:cs="方正书宋_GBK" w:eastAsia="方正书宋_GBK"/>
          <w:sz w:val="22"/>
          <w:szCs w:val="22"/>
        </w:rPr>
        <w:t>施工中如因违反上述规定而发生伤亡事故{其损失由乙方负责}。</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第十条 违约责任与仲裁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10.1  </w:t>
      </w:r>
      <w:r>
        <w:rPr>
          <w:rFonts w:ascii="方正书宋_GBK" w:hAnsi="方正书宋_GBK" w:cs="方正书宋_GBK" w:eastAsia="方正书宋_GBK"/>
          <w:sz w:val="22"/>
          <w:szCs w:val="22"/>
        </w:rPr>
        <w:t>甲方不能及时给出必要的指令、确认、批准而影响乙方施工，甲方承担责任，支付乙方因此增加的费用支出。</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10.2  </w:t>
      </w:r>
      <w:r>
        <w:rPr>
          <w:rFonts w:ascii="方正书宋_GBK" w:hAnsi="方正书宋_GBK" w:cs="方正书宋_GBK" w:eastAsia="方正书宋_GBK"/>
          <w:sz w:val="22"/>
          <w:szCs w:val="22"/>
        </w:rPr>
        <w:t>乙方不能按合同工期竣工，每逾期一天（包工包料工程）偿付甲方按分包工程造价</w:t>
      </w:r>
      <w:r>
        <w:rPr>
          <w:rFonts w:ascii="方正书宋_GBK" w:hAnsi="方正书宋_GBK" w:cs="方正书宋_GBK" w:eastAsia="方正书宋_GBK"/>
          <w:sz w:val="22"/>
          <w:szCs w:val="22"/>
          <w:u w:val="single"/>
        </w:rPr>
        <w:t>{分包工程造价逾期违约金比例</w:t>
      </w:r>
      <w:r>
        <w:rPr>
          <w:rFonts w:ascii="方正书宋_GBK" w:hAnsi="方正书宋_GBK" w:cs="方正书宋_GBK" w:eastAsia="方正书宋_GBK"/>
          <w:sz w:val="22"/>
          <w:szCs w:val="22"/>
        </w:rPr>
        <w:t>}的逾期违约金；属于包工不包料的工程，每逾期一天，偿付甲方按分包工程人工</w:t>
      </w:r>
      <w:r>
        <w:rPr>
          <w:rFonts w:ascii="方正书宋_GBK" w:hAnsi="方正书宋_GBK" w:cs="方正书宋_GBK" w:eastAsia="方正书宋_GBK"/>
          <w:sz w:val="22"/>
          <w:szCs w:val="22"/>
          <w:u w:val="single"/>
        </w:rPr>
        <w:t>费{分包工程人工费逾期违约</w:t>
      </w:r>
      <w:r>
        <w:rPr>
          <w:rFonts w:ascii="方正书宋_GBK" w:hAnsi="方正书宋_GBK" w:cs="方正书宋_GBK" w:eastAsia="方正书宋_GBK"/>
          <w:sz w:val="22"/>
          <w:szCs w:val="22"/>
        </w:rPr>
        <w:t>金比例}的逾期违约金。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10.3  </w:t>
      </w:r>
      <w:r>
        <w:rPr>
          <w:rFonts w:ascii="方正书宋_GBK" w:hAnsi="方正书宋_GBK" w:cs="方正书宋_GBK" w:eastAsia="方正书宋_GBK"/>
          <w:sz w:val="22"/>
          <w:szCs w:val="22"/>
        </w:rPr>
        <w:t>乙方施工质量达不到设计和规范的要求，乙方负责无偿进行返工修理，承担因返工造成的{工料损失}及{工期拖延责任}。双方对质量评定意见不一致时，</w:t>
      </w:r>
      <w:r>
        <w:rPr>
          <w:rFonts w:eastAsia="方正书宋_GBK" w:cs="方正书宋_GBK" w:ascii="方正书宋_GBK" w:hAnsi="方正书宋_GBK"/>
          <w:sz w:val="22"/>
          <w:szCs w:val="22"/>
        </w:rPr>
        <w:t>按</w:t>
      </w:r>
      <w:r>
        <w:rPr>
          <w:rFonts w:ascii="方正书宋_GBK" w:hAnsi="方正书宋_GBK" w:cs="方正书宋_GBK" w:eastAsia="方正书宋_GBK"/>
          <w:sz w:val="22"/>
          <w:szCs w:val="22"/>
        </w:rPr>
        <w:t>本条第6款执行。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 xml:space="preserve">10.4  </w:t>
      </w:r>
      <w:r>
        <w:rPr>
          <w:rFonts w:ascii="方正书宋_GBK" w:hAnsi="方正书宋_GBK" w:cs="方正书宋_GBK" w:eastAsia="方正书宋_GBK"/>
          <w:sz w:val="22"/>
          <w:szCs w:val="22"/>
        </w:rPr>
        <w:t>甲方如未按合同规定拨付应付款项，从拖欠之日起，按</w:t>
      </w:r>
      <w:r>
        <w:rPr>
          <w:rFonts w:ascii="方正书宋_GBK" w:hAnsi="方正书宋_GBK" w:cs="方正书宋_GBK" w:eastAsia="方正书宋_GBK"/>
          <w:sz w:val="22"/>
          <w:szCs w:val="22"/>
          <w:u w:val="single"/>
        </w:rPr>
        <w:t xml:space="preserve"> {利息率}% 的月利率向乙方支付违约金。</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{偿付乙方违约金}</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10.5  </w:t>
      </w:r>
      <w:r>
        <w:rPr>
          <w:rFonts w:ascii="方正书宋_GBK" w:hAnsi="方正书宋_GBK" w:cs="方正书宋_GBK" w:eastAsia="方正书宋_GBK"/>
          <w:sz w:val="22"/>
          <w:szCs w:val="22"/>
        </w:rPr>
        <w:t>合同签订后，不经双方协商同意，任何一方不得随意变更、解除合同。如出现单方{变更解除合同}，因此给对方造成{经济损失}的，由{责任方}承担责任。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 xml:space="preserve">10.6  </w:t>
      </w:r>
      <w:r>
        <w:rPr>
          <w:rFonts w:ascii="方正书宋_GBK" w:hAnsi="方正书宋_GBK" w:cs="方正书宋_GBK" w:eastAsia="方正书宋_GBK"/>
          <w:sz w:val="22"/>
          <w:szCs w:val="22"/>
        </w:rPr>
        <w:t>本合同发生纠纷，甲乙双方当事人应及时协商，协商不成时，可向建设施工合同管理部门申请调解。调解不成时，双方按以下第</w:t>
      </w:r>
      <w:r>
        <w:rPr>
          <w:rFonts w:ascii="方正书宋_GBK" w:hAnsi="方正书宋_GBK" w:cs="方正书宋_GBK" w:eastAsia="方正书宋_GBK"/>
          <w:sz w:val="22"/>
          <w:szCs w:val="22"/>
          <w:u w:val="single"/>
        </w:rPr>
        <w:t>{选择项}填写。</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以下是我给出的文本：  </w:t>
        <w:br/>
        <w:t>{解决方案}</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①</w:t>
      </w:r>
      <w:r>
        <w:rPr>
          <w:rFonts w:ascii="方正书宋_GBK" w:hAnsi="方正书宋_GBK" w:cs="方正书宋_GBK" w:eastAsia="方正书宋_GBK"/>
          <w:sz w:val="22"/>
          <w:szCs w:val="22"/>
        </w:rPr>
        <w:t>向有管辖权的经济合同仲裁委员会申请仲裁。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②</w:t>
      </w:r>
      <w:r>
        <w:rPr>
          <w:rFonts w:ascii="方正书宋_GBK" w:hAnsi="方正书宋_GBK" w:cs="方正书宋_GBK" w:eastAsia="方正书宋_GBK"/>
          <w:sz w:val="22"/>
          <w:szCs w:val="22"/>
        </w:rPr>
        <w:t>向有管辖权的人民法院起诉。</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第十一条  附则</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11.1  </w:t>
      </w:r>
      <w:r>
        <w:rPr>
          <w:rFonts w:ascii="方正书宋_GBK" w:hAnsi="方正书宋_GBK" w:cs="方正书宋_GBK" w:eastAsia="方正书宋_GBK"/>
          <w:sz w:val="22"/>
          <w:szCs w:val="22"/>
        </w:rPr>
        <w:t>本合同正本两份，具有同等效力，由甲乙双方各执一份。副本</w:t>
      </w:r>
      <w:r>
        <w:rPr>
          <w:rFonts w:ascii="方正书宋_GBK" w:hAnsi="方正书宋_GBK" w:cs="方正书宋_GBK" w:eastAsia="方正书宋_GBK"/>
          <w:sz w:val="22"/>
          <w:szCs w:val="22"/>
          <w:u w:val="single"/>
        </w:rPr>
        <w:t>{副本数量}份。</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 xml:space="preserve">11.2  </w:t>
      </w:r>
      <w:r>
        <w:rPr>
          <w:rFonts w:ascii="方正书宋_GBK" w:hAnsi="方正书宋_GBK" w:cs="方正书宋_GBK" w:eastAsia="方正书宋_GBK"/>
          <w:sz w:val="22"/>
          <w:szCs w:val="22"/>
        </w:rPr>
        <w:t>双方商定的其它条款：</w:t>
      </w:r>
      <w:r>
        <w:rPr>
          <w:rFonts w:ascii="方正书宋_GBK" w:hAnsi="方正书宋_GBK" w:cs="方正书宋_GBK" w:eastAsia="方正书宋_GBK"/>
          <w:sz w:val="22"/>
          <w:szCs w:val="22"/>
          <w:u w:val="single"/>
        </w:rPr>
        <w:t xml:space="preserve">   {其他条款}</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11.3  </w:t>
      </w:r>
      <w:r>
        <w:rPr>
          <w:rFonts w:ascii="方正书宋_GBK" w:hAnsi="方正书宋_GBK" w:cs="方正书宋_GBK" w:eastAsia="方正书宋_GBK"/>
          <w:sz w:val="22"/>
          <w:szCs w:val="22"/>
        </w:rPr>
        <w:t>本合同自双方盖章之日起生效，至全部分包工程竣工并结算完毕后失效。合同有关保修条款，至保修期满后失效。</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11.4  </w:t>
      </w:r>
      <w:r>
        <w:rPr>
          <w:rFonts w:ascii="方正书宋_GBK" w:hAnsi="方正书宋_GBK" w:cs="方正书宋_GBK" w:eastAsia="方正书宋_GBK"/>
          <w:sz w:val="22"/>
          <w:szCs w:val="22"/>
        </w:rPr>
        <w:t>合同附件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）分包工程预算书</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）分包工程项目一览表  {附表一}</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）分包工程人工单价表  附表二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）总包方供应材料表  附表三</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）分包方租赁施工机具一览表  附表四</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）{临时设施使用一览表}  附表五</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）有关协议</w:t>
      </w:r>
    </w:p>
    <w:p>
      <w:pPr>
        <w:pStyle w:val="Normal"/>
        <w:snapToGrid w:val="false"/>
        <w:spacing w:lineRule="auto" w:line="360"/>
        <w:rPr>
          <w:rFonts w:ascii="方正书宋_GBK" w:hAnsi="方正书宋_GBK" w:eastAsia="方正书宋_GBK" w:cs="方正书宋_GBK"/>
          <w:sz w:val="22"/>
          <w:szCs w:val="21"/>
        </w:rPr>
      </w:pPr>
      <w:r>
        <w:rPr>
          <w:rFonts w:eastAsia="方正书宋_GBK" w:cs="方正书宋_GBK" w:ascii="方正书宋_GBK" w:hAnsi="方正书宋_GBK"/>
          <w:sz w:val="22"/>
          <w:szCs w:val="21"/>
        </w:rPr>
      </w:r>
    </w:p>
    <w:p>
      <w:pPr>
        <w:pStyle w:val="Normal"/>
        <w:snapToGrid w:val="false"/>
        <w:spacing w:lineRule="auto" w:line="360"/>
        <w:ind w:firstLine="440" w:end="0"/>
        <w:rPr>
          <w:rFonts w:ascii="方正书宋_GBK" w:hAnsi="方正书宋_GBK" w:eastAsia="方正书宋_GBK" w:cs="方正书宋_GBK"/>
          <w:i w:val="false"/>
          <w:i w:val="false"/>
          <w:iCs w:val="false"/>
          <w:sz w:val="22"/>
          <w:szCs w:val="22"/>
        </w:rPr>
      </w:pPr>
      <w:r>
        <w:rPr>
          <w:rFonts w:ascii="方正书宋_GBK" w:hAnsi="方正书宋_GBK" w:cs="方正书宋_GBK" w:eastAsia="方正书宋_GBK"/>
          <w:i w:val="false"/>
          <w:iCs w:val="false"/>
          <w:sz w:val="22"/>
          <w:szCs w:val="22"/>
        </w:rPr>
        <w:t>{合同订立时间}</w:t>
      </w:r>
      <w:r>
        <w:rPr>
          <w:rFonts w:ascii="方正书宋_GBK" w:hAnsi="方正书宋_GBK" w:cs="方正书宋_GBK" w:eastAsia="方正书宋_GBK"/>
          <w:i w:val="false"/>
          <w:iCs w:val="false"/>
          <w:sz w:val="22"/>
          <w:szCs w:val="22"/>
          <w:lang w:val="en-US" w:eastAsia="zh-CN"/>
        </w:rPr>
      </w:r>
      <w:r>
        <w:rPr>
          <w:rFonts w:ascii="方正书宋_GBK" w:hAnsi="方正书宋_GBK" w:cs="方正书宋_GBK" w:eastAsia="方正书宋_GBK"/>
          <w:i w:val="false"/>
          <w:iCs w:val="false"/>
          <w:sz w:val="22"/>
          <w:szCs w:val="22"/>
        </w:rPr>
      </w:r>
    </w:p>
    <w:p>
      <w:pPr>
        <w:pStyle w:val="Normal"/>
        <w:snapToGrid w:val="false"/>
        <w:spacing w:lineRule="auto" w:line="360"/>
        <w:ind w:firstLine="440" w:end="0"/>
        <w:rPr>
          <w:rFonts w:ascii="方正书宋_GBK" w:hAnsi="方正书宋_GBK" w:eastAsia="方正书宋_GBK" w:cs="方正书宋_GBK"/>
          <w:i w:val="false"/>
          <w:i w:val="false"/>
          <w:iCs w:val="false"/>
          <w:sz w:val="22"/>
          <w:szCs w:val="22"/>
        </w:rPr>
      </w:pPr>
      <w:r>
        <w:rPr>
          <w:rFonts w:ascii="方正书宋_GBK" w:hAnsi="方正书宋_GBK" w:cs="方正书宋_GBK" w:eastAsia="方正书宋_GBK"/>
          <w:i w:val="false"/>
          <w:iCs w:val="false"/>
          <w:sz w:val="22"/>
          <w:szCs w:val="22"/>
        </w:rPr>
        <w:t>合同签订地点</w:t>
      </w:r>
    </w:p>
    <w:p>
      <w:pPr>
        <w:pStyle w:val="Normal"/>
        <w:snapToGrid w:val="false"/>
        <w:spacing w:lineRule="auto" w:line="360"/>
        <w:ind w:firstLine="440" w:end="0"/>
        <w:rPr>
          <w:rFonts w:ascii="方正书宋_GBK" w:hAnsi="方正书宋_GBK" w:eastAsia="方正书宋_GBK" w:cs="方正书宋_GBK"/>
          <w:i w:val="false"/>
          <w:i w:val="false"/>
          <w:iCs w:val="false"/>
          <w:sz w:val="22"/>
          <w:szCs w:val="22"/>
        </w:rPr>
      </w:pPr>
      <w:r>
        <w:rPr>
          <w:rFonts w:eastAsia="方正书宋_GBK" w:cs="方正书宋_GBK" w:ascii="方正书宋_GBK" w:hAnsi="方正书宋_GBK"/>
          <w:i w:val="false"/>
          <w:iCs w:val="false"/>
          <w:sz w:val="22"/>
          <w:szCs w:val="22"/>
        </w:rPr>
      </w:r>
    </w:p>
    <w:p>
      <w:pPr>
        <w:pStyle w:val="Normal"/>
        <w:snapToGrid w:val="false"/>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总包方：           {总包方名称}            分包方：          {分包方名称}</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地  址：{地址}  </w:t>
        <w:br/>
        <w:t>地   址：</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       {法定代表人}            法定代表人：      {法定代表人}</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委托代理人：{委托代理人1}（章）委托代理人：{委托代理人2}（章）</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电      话：{联系电话}  </w:t>
        <w:br/>
        <w:t>电     话：{联系电话}</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      挂}：{联系电话}</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开户银行：{开户银行}</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帐      号：{帐号}             帐    号：{帐号}</w:t>
      </w:r>
    </w:p>
    <w:p>
      <w:pPr>
        <w:pStyle w:val="Normal"/>
        <w:snapToGrid w:val="false"/>
        <w:spacing w:lineRule="auto" w:line="360"/>
        <w:rPr>
          <w:rFonts w:ascii="方正书宋_GBK" w:hAnsi="方正书宋_GBK" w:eastAsia="方正书宋_GBK" w:cs="方正书宋_GBK"/>
          <w:sz w:val="22"/>
          <w:szCs w:val="21"/>
        </w:rPr>
      </w:pPr>
      <w:r>
        <w:rPr>
          <w:rFonts w:ascii="方正书宋_GBK" w:hAnsi="方正书宋_GBK" w:cs="方正书宋_GBK" w:eastAsia="方正书宋_GBK"/>
          <w:sz w:val="22"/>
          <w:szCs w:val="21"/>
        </w:rPr>
        <w:t>邮政编码：{邮政编码}</w:t>
      </w:r>
    </w:p>
    <w:tbl>
      <w:tblPr>
        <w:tblW w:w="6634" w:type="dxa"/>
        <w:jc w:val="start"/>
        <w:tblInd w:w="0" w:type="dxa"/>
        <w:tblLayout w:type="fixed"/>
        <w:tblCellMar>
          <w:top w:w="0" w:type="dxa"/>
          <w:start w:w="57" w:type="dxa"/>
          <w:bottom w:w="0" w:type="dxa"/>
          <w:end w:w="57" w:type="dxa"/>
        </w:tblCellMar>
      </w:tblPr>
      <w:tblGrid>
        <w:gridCol w:w="477"/>
        <w:gridCol w:w="2841"/>
        <w:gridCol w:w="505"/>
        <w:gridCol w:w="2811"/>
      </w:tblGrid>
      <w:tr>
        <w:trPr/>
        <w:tc>
          <w:tcPr>
            <w:tcW w:w="47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合同管理办公室意见</w:t>
            </w:r>
          </w:p>
        </w:tc>
        <w:tc>
          <w:tcPr>
            <w:tcW w:w="2841" w:type="dxa"/>
            <w:tcBorders>
              <w:top w:val="single" w:sz="4" w:space="0" w:color="000000"/>
              <w:start w:val="single" w:sz="4" w:space="0" w:color="000000"/>
              <w:bottom w:val="single" w:sz="4" w:space="0" w:color="000000"/>
              <w:end w:val="single" w:sz="4" w:space="0" w:color="000000"/>
            </w:tcBorders>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p>
            <w:pPr>
              <w:pStyle w:val="Normal"/>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p>
            <w:pPr>
              <w:pStyle w:val="Normal"/>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p>
            <w:pPr>
              <w:pStyle w:val="Normal"/>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p>
            <w:pPr>
              <w:pStyle w:val="Normal"/>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p>
            <w:pPr>
              <w:pStyle w:val="Normal"/>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p>
            <w:pPr>
              <w:pStyle w:val="Normal"/>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p>
            <w:pPr>
              <w:pStyle w:val="Normal"/>
              <w:ind w:end="420"/>
              <w:jc w:val="end"/>
              <w:rPr>
                <w:rFonts w:ascii="方正书宋_GBK" w:hAnsi="方正书宋_GBK" w:eastAsia="方正书宋_GBK" w:cs="方正书宋_GBK"/>
                <w:sz w:val="18"/>
                <w:szCs w:val="18"/>
              </w:rPr>
            </w:pPr>
            <w:r>
              <w:rPr>
                <w:rFonts w:ascii="方正书宋_GBK" w:hAnsi="方正书宋_GBK" w:cs="方正书宋_GBK" w:eastAsia="方正书宋_GBK"/>
                <w:sz w:val="18"/>
                <w:szCs w:val="18"/>
              </w:rPr>
              <w:t>（章）</w:t>
            </w:r>
          </w:p>
          <w:p>
            <w:pPr>
              <w:pStyle w:val="Normal"/>
              <w:jc w:val="end"/>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年   月   日</w:t>
            </w:r>
          </w:p>
        </w:tc>
        <w:tc>
          <w:tcPr>
            <w:tcW w:w="50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有关部门意见</w:t>
            </w:r>
          </w:p>
        </w:tc>
        <w:tc>
          <w:tcPr>
            <w:tcW w:w="2811" w:type="dxa"/>
            <w:tcBorders>
              <w:top w:val="single" w:sz="4" w:space="0" w:color="000000"/>
              <w:start w:val="single" w:sz="4" w:space="0" w:color="000000"/>
              <w:bottom w:val="single" w:sz="4" w:space="0" w:color="000000"/>
              <w:end w:val="single" w:sz="4" w:space="0" w:color="000000"/>
            </w:tcBorders>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p>
            <w:pPr>
              <w:pStyle w:val="Normal"/>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p>
            <w:pPr>
              <w:pStyle w:val="Normal"/>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p>
            <w:pPr>
              <w:pStyle w:val="Normal"/>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p>
            <w:pPr>
              <w:pStyle w:val="Normal"/>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p>
            <w:pPr>
              <w:pStyle w:val="Normal"/>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p>
            <w:pPr>
              <w:pStyle w:val="Normal"/>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p>
            <w:pPr>
              <w:pStyle w:val="Normal"/>
              <w:ind w:end="420"/>
              <w:jc w:val="end"/>
              <w:rPr>
                <w:rFonts w:ascii="方正书宋_GBK" w:hAnsi="方正书宋_GBK" w:eastAsia="方正书宋_GBK" w:cs="方正书宋_GBK"/>
                <w:sz w:val="18"/>
                <w:szCs w:val="18"/>
              </w:rPr>
            </w:pPr>
            <w:r>
              <w:rPr>
                <w:rFonts w:ascii="方正书宋_GBK" w:hAnsi="方正书宋_GBK" w:cs="方正书宋_GBK" w:eastAsia="方正书宋_GBK"/>
                <w:sz w:val="18"/>
                <w:szCs w:val="18"/>
              </w:rPr>
              <w:t>（章）</w:t>
            </w:r>
          </w:p>
          <w:p>
            <w:pPr>
              <w:pStyle w:val="Normal"/>
              <w:jc w:val="end"/>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年   月   日</w:t>
            </w:r>
          </w:p>
        </w:tc>
      </w:tr>
    </w:tbl>
    <w:p>
      <w:pPr>
        <w:pStyle w:val="Normal"/>
        <w:snapToGrid w:val="false"/>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分包工程项目一览表</w:t>
      </w:r>
    </w:p>
    <w:p>
      <w:pPr>
        <w:pStyle w:val="Normal"/>
        <w:snapToGrid w:val="false"/>
        <w:spacing w:lineRule="auto" w:line="360"/>
        <w:ind w:firstLine="560" w:end="0"/>
        <w:jc w:val="end"/>
        <w:rPr>
          <w:rFonts w:ascii="方正楷体_GBK" w:hAnsi="方正楷体_GBK" w:eastAsia="方正楷体_GBK" w:cs="方正楷体_GBK"/>
          <w:sz w:val="28"/>
          <w:szCs w:val="28"/>
        </w:rPr>
      </w:pPr>
      <w:r>
        <w:rPr>
          <w:rFonts w:ascii="方正楷体_GBK" w:hAnsi="方正楷体_GBK" w:cs="方正楷体_GBK" w:eastAsia="方正楷体_GBK"/>
          <w:sz w:val="28"/>
          <w:szCs w:val="28"/>
        </w:rPr>
        <w:t>附表一</w:t>
      </w:r>
    </w:p>
    <w:tbl>
      <w:tblPr>
        <w:tblW w:w="6634" w:type="dxa"/>
        <w:jc w:val="start"/>
        <w:tblInd w:w="0" w:type="dxa"/>
        <w:tblLayout w:type="fixed"/>
        <w:tblCellMar>
          <w:top w:w="0" w:type="dxa"/>
          <w:start w:w="57" w:type="dxa"/>
          <w:bottom w:w="0" w:type="dxa"/>
          <w:end w:w="57" w:type="dxa"/>
        </w:tblCellMar>
      </w:tblPr>
      <w:tblGrid>
        <w:gridCol w:w="808"/>
        <w:gridCol w:w="808"/>
        <w:gridCol w:w="808"/>
        <w:gridCol w:w="809"/>
        <w:gridCol w:w="809"/>
        <w:gridCol w:w="974"/>
        <w:gridCol w:w="809"/>
        <w:gridCol w:w="809"/>
      </w:tblGrid>
      <w:tr>
        <w:trPr/>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工程编号</w:t>
            </w:r>
          </w:p>
        </w:tc>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工程名称</w:t>
            </w:r>
          </w:p>
        </w:tc>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单位</w:t>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工程数量</w:t>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单价</w:t>
            </w:r>
          </w:p>
        </w:tc>
        <w:tc>
          <w:tcPr>
            <w:tcW w:w="974"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造价（元）</w:t>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预定工期</w:t>
            </w:r>
          </w:p>
          <w:p>
            <w:pPr>
              <w:pStyle w:val="Normal"/>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开工日期</w:t>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预定工期</w:t>
            </w:r>
          </w:p>
          <w:p>
            <w:pPr>
              <w:pStyle w:val="Normal"/>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竣工日期</w:t>
            </w:r>
          </w:p>
        </w:tc>
      </w:tr>
      <w:tr>
        <w:trPr/>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21"/>
              </w:rPr>
            </w:pPr>
            <w:r>
              <w:rPr>
                <w:rFonts w:eastAsia="方正书宋_GBK" w:cs="方正书宋_GBK" w:ascii="方正书宋_GBK" w:hAnsi="方正书宋_GBK"/>
                <w:sz w:val="18"/>
                <w:szCs w:val="21"/>
              </w:rPr>
            </w:r>
          </w:p>
        </w:tc>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7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7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7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7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7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7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7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7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7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bl>
    <w:p>
      <w:pPr>
        <w:pStyle w:val="Normal"/>
        <w:snapToGrid w:val="false"/>
        <w:ind w:firstLine="880" w:end="0"/>
        <w:jc w:val="center"/>
        <w:rPr>
          <w:rFonts w:ascii="方正小标宋简体" w:hAnsi="方正小标宋简体" w:eastAsia="方正小标宋简体"/>
          <w:sz w:val="44"/>
          <w:szCs w:val="44"/>
        </w:rPr>
      </w:pPr>
      <w:r>
        <w:rPr>
          <w:rFonts w:eastAsia="方正小标宋简体" w:ascii="方正小标宋简体" w:hAnsi="方正小标宋简体"/>
          <w:sz w:val="44"/>
          <w:szCs w:val="44"/>
        </w:rPr>
      </w:r>
    </w:p>
    <w:p>
      <w:pPr>
        <w:pStyle w:val="Normal"/>
        <w:snapToGrid w:val="false"/>
        <w:ind w:firstLine="880" w:end="0"/>
        <w:jc w:val="center"/>
        <w:rPr>
          <w:rFonts w:ascii="方正小标宋简体" w:hAnsi="方正小标宋简体" w:eastAsia="方正小标宋简体"/>
          <w:sz w:val="44"/>
          <w:szCs w:val="44"/>
        </w:rPr>
      </w:pPr>
      <w:r>
        <w:rPr>
          <w:rFonts w:eastAsia="方正小标宋简体" w:ascii="方正小标宋简体" w:hAnsi="方正小标宋简体"/>
          <w:sz w:val="44"/>
          <w:szCs w:val="44"/>
        </w:rPr>
      </w:r>
    </w:p>
    <w:p>
      <w:pPr>
        <w:pStyle w:val="Normal"/>
        <w:snapToGrid w:val="false"/>
        <w:ind w:firstLine="880" w:end="0"/>
        <w:jc w:val="center"/>
        <w:rPr>
          <w:rFonts w:ascii="方正小标宋简体" w:hAnsi="方正小标宋简体" w:eastAsia="方正小标宋简体"/>
          <w:sz w:val="44"/>
          <w:szCs w:val="44"/>
        </w:rPr>
      </w:pPr>
      <w:r>
        <w:rPr>
          <w:rFonts w:eastAsia="方正小标宋简体" w:ascii="方正小标宋简体" w:hAnsi="方正小标宋简体"/>
          <w:sz w:val="44"/>
          <w:szCs w:val="44"/>
        </w:rPr>
      </w:r>
    </w:p>
    <w:p>
      <w:pPr>
        <w:pStyle w:val="Normal"/>
        <w:snapToGrid w:val="false"/>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包工不包料（分包）工程人工单价表</w:t>
      </w:r>
    </w:p>
    <w:p>
      <w:pPr>
        <w:pStyle w:val="Normal"/>
        <w:snapToGrid w:val="false"/>
        <w:spacing w:lineRule="auto" w:line="360"/>
        <w:ind w:firstLine="560" w:end="0"/>
        <w:jc w:val="end"/>
        <w:rPr>
          <w:rFonts w:ascii="方正楷体_GBK" w:hAnsi="方正楷体_GBK" w:eastAsia="方正楷体_GBK" w:cs="方正楷体_GBK"/>
          <w:sz w:val="28"/>
          <w:szCs w:val="28"/>
        </w:rPr>
      </w:pPr>
      <w:r>
        <w:rPr>
          <w:rFonts w:ascii="方正楷体_GBK" w:hAnsi="方正楷体_GBK" w:cs="方正楷体_GBK" w:eastAsia="方正楷体_GBK"/>
          <w:sz w:val="28"/>
          <w:szCs w:val="28"/>
        </w:rPr>
        <w:t>附表二</w:t>
      </w:r>
    </w:p>
    <w:tbl>
      <w:tblPr>
        <w:tblW w:w="6634" w:type="dxa"/>
        <w:jc w:val="start"/>
        <w:tblInd w:w="0" w:type="dxa"/>
        <w:tblLayout w:type="fixed"/>
        <w:tblCellMar>
          <w:top w:w="0" w:type="dxa"/>
          <w:start w:w="57" w:type="dxa"/>
          <w:bottom w:w="0" w:type="dxa"/>
          <w:end w:w="57" w:type="dxa"/>
        </w:tblCellMar>
      </w:tblPr>
      <w:tblGrid>
        <w:gridCol w:w="1478"/>
        <w:gridCol w:w="662"/>
        <w:gridCol w:w="639"/>
        <w:gridCol w:w="850"/>
        <w:gridCol w:w="802"/>
        <w:gridCol w:w="662"/>
        <w:gridCol w:w="881"/>
        <w:gridCol w:w="660"/>
      </w:tblGrid>
      <w:tr>
        <w:trPr/>
        <w:tc>
          <w:tcPr>
            <w:tcW w:w="1478" w:type="dxa"/>
            <w:vMerge w:val="restart"/>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项目</w:t>
            </w:r>
          </w:p>
        </w:tc>
        <w:tc>
          <w:tcPr>
            <w:tcW w:w="1301" w:type="dxa"/>
            <w:gridSpan w:val="2"/>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按预算工日</w:t>
            </w:r>
          </w:p>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（元</w:t>
            </w:r>
            <w:r>
              <w:rPr>
                <w:rFonts w:eastAsia="方正书宋_GBK" w:cs="方正书宋_GBK" w:ascii="方正书宋_GBK" w:hAnsi="方正书宋_GBK"/>
                <w:sz w:val="18"/>
                <w:szCs w:val="18"/>
              </w:rPr>
              <w:t>/</w:t>
            </w:r>
            <w:r>
              <w:rPr>
                <w:rFonts w:ascii="方正书宋_GBK" w:hAnsi="方正书宋_GBK" w:cs="方正书宋_GBK" w:eastAsia="方正书宋_GBK"/>
                <w:sz w:val="18"/>
                <w:szCs w:val="18"/>
              </w:rPr>
              <w:t>每预算工日）</w:t>
            </w:r>
          </w:p>
        </w:tc>
        <w:tc>
          <w:tcPr>
            <w:tcW w:w="1652" w:type="dxa"/>
            <w:gridSpan w:val="2"/>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按单方平米人工费包干</w:t>
            </w:r>
          </w:p>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（元</w:t>
            </w:r>
            <w:r>
              <w:rPr>
                <w:rFonts w:eastAsia="方正书宋_GBK" w:cs="方正书宋_GBK" w:ascii="方正书宋_GBK" w:hAnsi="方正书宋_GBK"/>
                <w:sz w:val="18"/>
                <w:szCs w:val="18"/>
              </w:rPr>
              <w:t>/</w:t>
            </w:r>
            <w:r>
              <w:rPr>
                <w:rFonts w:ascii="方正书宋_GBK" w:hAnsi="方正书宋_GBK" w:cs="方正书宋_GBK" w:eastAsia="方正书宋_GBK"/>
                <w:sz w:val="18"/>
                <w:szCs w:val="18"/>
              </w:rPr>
              <w:t>平方米）</w:t>
            </w:r>
          </w:p>
        </w:tc>
        <w:tc>
          <w:tcPr>
            <w:tcW w:w="1543" w:type="dxa"/>
            <w:gridSpan w:val="2"/>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清工单价</w:t>
            </w:r>
          </w:p>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（元</w:t>
            </w:r>
            <w:r>
              <w:rPr>
                <w:rFonts w:eastAsia="方正书宋_GBK" w:cs="方正书宋_GBK" w:ascii="方正书宋_GBK" w:hAnsi="方正书宋_GBK"/>
                <w:sz w:val="18"/>
                <w:szCs w:val="18"/>
              </w:rPr>
              <w:t>/</w:t>
            </w:r>
            <w:r>
              <w:rPr>
                <w:rFonts w:ascii="方正书宋_GBK" w:hAnsi="方正书宋_GBK" w:cs="方正书宋_GBK" w:eastAsia="方正书宋_GBK"/>
                <w:sz w:val="18"/>
                <w:szCs w:val="18"/>
              </w:rPr>
              <w:t>工日）</w:t>
            </w:r>
          </w:p>
        </w:tc>
        <w:tc>
          <w:tcPr>
            <w:tcW w:w="660" w:type="dxa"/>
            <w:vMerge w:val="restart"/>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附注</w:t>
            </w:r>
          </w:p>
        </w:tc>
      </w:tr>
      <w:tr>
        <w:trPr/>
        <w:tc>
          <w:tcPr>
            <w:tcW w:w="14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6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合格</w:t>
            </w:r>
          </w:p>
        </w:tc>
        <w:tc>
          <w:tcPr>
            <w:tcW w:w="639"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优良</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合格</w:t>
            </w:r>
          </w:p>
        </w:tc>
        <w:tc>
          <w:tcPr>
            <w:tcW w:w="80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优良</w:t>
            </w:r>
          </w:p>
        </w:tc>
        <w:tc>
          <w:tcPr>
            <w:tcW w:w="66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正常</w:t>
            </w:r>
          </w:p>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施工</w:t>
            </w:r>
          </w:p>
        </w:tc>
        <w:tc>
          <w:tcPr>
            <w:tcW w:w="88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全日停工待料停水停电</w:t>
            </w:r>
          </w:p>
        </w:tc>
        <w:tc>
          <w:tcPr>
            <w:tcW w:w="66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c>
          <w:tcPr>
            <w:tcW w:w="1478"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单位工程分包</w:t>
            </w:r>
          </w:p>
        </w:tc>
        <w:tc>
          <w:tcPr>
            <w:tcW w:w="66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3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0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6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8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c>
          <w:tcPr>
            <w:tcW w:w="1478"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单项内檐抹灰工程</w:t>
            </w:r>
          </w:p>
        </w:tc>
        <w:tc>
          <w:tcPr>
            <w:tcW w:w="66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3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0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6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8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c>
          <w:tcPr>
            <w:tcW w:w="1478"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单项砼工程</w:t>
            </w:r>
          </w:p>
        </w:tc>
        <w:tc>
          <w:tcPr>
            <w:tcW w:w="66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3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0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6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8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c>
          <w:tcPr>
            <w:tcW w:w="1478"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单项土方工程</w:t>
            </w:r>
          </w:p>
        </w:tc>
        <w:tc>
          <w:tcPr>
            <w:tcW w:w="66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3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0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6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8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c>
          <w:tcPr>
            <w:tcW w:w="1478"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水暖卫电工程（按幢号）</w:t>
            </w:r>
          </w:p>
        </w:tc>
        <w:tc>
          <w:tcPr>
            <w:tcW w:w="66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3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0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6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8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c>
          <w:tcPr>
            <w:tcW w:w="147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6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3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0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6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8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c>
          <w:tcPr>
            <w:tcW w:w="147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6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3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0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6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8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bl>
    <w:p>
      <w:pPr>
        <w:pStyle w:val="Normal"/>
        <w:snapToGrid w:val="false"/>
        <w:spacing w:lineRule="auto" w:line="360"/>
        <w:ind w:firstLine="440" w:end="0"/>
        <w:rPr>
          <w:szCs w:val="21"/>
        </w:rPr>
      </w:pPr>
      <w:r>
        <w:rPr>
          <w:rFonts w:ascii="方正书宋_GBK" w:hAnsi="方正书宋_GBK" w:cs="方正书宋_GBK" w:eastAsia="方正书宋_GBK"/>
          <w:sz w:val="22"/>
          <w:szCs w:val="22"/>
        </w:rPr>
        <w:t>注：冬季施工（</w:t>
      </w:r>
      <w:r>
        <w:rPr>
          <w:rFonts w:eastAsia="方正书宋_GBK" w:cs="方正书宋_GBK" w:ascii="方正书宋_GBK" w:hAnsi="方正书宋_GBK"/>
          <w:sz w:val="22"/>
          <w:szCs w:val="22"/>
        </w:rPr>
        <w:t>{月</w:t>
      </w:r>
      <w:r>
        <w:rPr>
          <w:rFonts w:ascii="方正书宋_GBK" w:hAnsi="方正书宋_GBK" w:cs="方正书宋_GBK" w:eastAsia="方正书宋_GBK"/>
          <w:sz w:val="22"/>
          <w:szCs w:val="22"/>
        </w:rPr>
        <w:t>份}</w:t>
      </w:r>
      <w:r>
        <w:rPr>
          <w:rFonts w:eastAsia="方正书宋_GBK" w:cs="方正书宋_GBK" w:ascii="方正书宋_GBK" w:hAnsi="方正书宋_GBK"/>
          <w:sz w:val="22"/>
          <w:szCs w:val="22"/>
        </w:rPr>
        <w:t>至</w:t>
      </w:r>
      <w:r>
        <w:rPr>
          <w:rFonts w:ascii="方正书宋_GBK" w:hAnsi="方正书宋_GBK" w:cs="方正书宋_GBK" w:eastAsia="方正书宋_GBK"/>
          <w:sz w:val="22"/>
          <w:szCs w:val="22"/>
        </w:rPr>
        <w:t>{月份}）人工降</w:t>
      </w:r>
      <w:r>
        <w:rPr>
          <w:rFonts w:eastAsia="方正书宋_GBK" w:cs="方正书宋_GBK" w:ascii="方正书宋_GBK" w:hAnsi="方正书宋_GBK"/>
          <w:sz w:val="22"/>
          <w:szCs w:val="22"/>
        </w:rPr>
        <w:t>效按{</w:t>
      </w:r>
      <w:r>
        <w:rPr>
          <w:rFonts w:ascii="方正书宋_GBK" w:hAnsi="方正书宋_GBK" w:cs="方正书宋_GBK" w:eastAsia="方正书宋_GBK"/>
          <w:sz w:val="22"/>
          <w:szCs w:val="22"/>
        </w:rPr>
        <w:t>百分比}工日计入工日单价</w:t>
      </w:r>
    </w:p>
    <w:p>
      <w:pPr>
        <w:pStyle w:val="Normal"/>
        <w:snapToGrid w:val="false"/>
        <w:spacing w:lineRule="auto" w:line="360"/>
        <w:ind w:firstLine="420" w:end="0"/>
        <w:rPr>
          <w:szCs w:val="21"/>
        </w:rPr>
      </w:pPr>
      <w:r>
        <w:rPr>
          <w:szCs w:val="21"/>
        </w:rPr>
      </w:r>
    </w:p>
    <w:p>
      <w:pPr>
        <w:pStyle w:val="Normal"/>
        <w:snapToGrid w:val="false"/>
        <w:ind w:firstLine="880" w:end="0"/>
        <w:jc w:val="center"/>
        <w:rPr>
          <w:rFonts w:ascii="方正小标宋简体" w:hAnsi="方正小标宋简体" w:eastAsia="方正小标宋简体"/>
          <w:sz w:val="44"/>
          <w:szCs w:val="44"/>
        </w:rPr>
      </w:pPr>
      <w:r>
        <w:rPr>
          <w:rFonts w:eastAsia="方正小标宋简体" w:ascii="方正小标宋简体" w:hAnsi="方正小标宋简体"/>
          <w:sz w:val="44"/>
          <w:szCs w:val="44"/>
        </w:rPr>
      </w:r>
    </w:p>
    <w:p>
      <w:pPr>
        <w:pStyle w:val="Normal"/>
        <w:snapToGrid w:val="false"/>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总包方（甲方）供应材料表</w:t>
      </w:r>
    </w:p>
    <w:p>
      <w:pPr>
        <w:pStyle w:val="Normal"/>
        <w:snapToGrid w:val="false"/>
        <w:spacing w:lineRule="auto" w:line="360"/>
        <w:ind w:firstLine="560" w:end="0"/>
        <w:jc w:val="end"/>
        <w:rPr>
          <w:rFonts w:ascii="方正楷体_GBK" w:hAnsi="方正楷体_GBK" w:eastAsia="方正楷体_GBK" w:cs="方正楷体_GBK"/>
          <w:sz w:val="28"/>
          <w:szCs w:val="21"/>
        </w:rPr>
      </w:pPr>
      <w:r>
        <w:rPr>
          <w:rFonts w:ascii="方正楷体_GBK" w:hAnsi="方正楷体_GBK" w:cs="方正楷体_GBK" w:eastAsia="方正楷体_GBK"/>
          <w:sz w:val="28"/>
          <w:szCs w:val="21"/>
        </w:rPr>
        <w:t>附表三</w:t>
      </w:r>
    </w:p>
    <w:tbl>
      <w:tblPr>
        <w:tblW w:w="6634" w:type="dxa"/>
        <w:jc w:val="start"/>
        <w:tblInd w:w="0" w:type="dxa"/>
        <w:tblLayout w:type="fixed"/>
        <w:tblCellMar>
          <w:top w:w="0" w:type="dxa"/>
          <w:start w:w="57" w:type="dxa"/>
          <w:bottom w:w="0" w:type="dxa"/>
          <w:end w:w="57" w:type="dxa"/>
        </w:tblCellMar>
      </w:tblPr>
      <w:tblGrid>
        <w:gridCol w:w="947"/>
        <w:gridCol w:w="947"/>
        <w:gridCol w:w="948"/>
        <w:gridCol w:w="948"/>
        <w:gridCol w:w="948"/>
        <w:gridCol w:w="948"/>
        <w:gridCol w:w="948"/>
      </w:tblGrid>
      <w:tr>
        <w:trPr/>
        <w:tc>
          <w:tcPr>
            <w:tcW w:w="947"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品种</w:t>
            </w:r>
          </w:p>
        </w:tc>
        <w:tc>
          <w:tcPr>
            <w:tcW w:w="947"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规格</w:t>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单位</w:t>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数量</w:t>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交货时间</w:t>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交货地点</w:t>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备注</w:t>
            </w:r>
          </w:p>
        </w:tc>
      </w:tr>
      <w:tr>
        <w:trPr/>
        <w:tc>
          <w:tcPr>
            <w:tcW w:w="9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21"/>
              </w:rPr>
            </w:pPr>
            <w:r>
              <w:rPr>
                <w:rFonts w:eastAsia="方正书宋_GBK" w:cs="方正书宋_GBK" w:ascii="方正书宋_GBK" w:hAnsi="方正书宋_GBK"/>
                <w:sz w:val="18"/>
                <w:szCs w:val="21"/>
              </w:rPr>
            </w:r>
          </w:p>
        </w:tc>
        <w:tc>
          <w:tcPr>
            <w:tcW w:w="9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9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9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9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9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9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9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9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9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9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bl>
    <w:p>
      <w:pPr>
        <w:pStyle w:val="Normal"/>
        <w:snapToGrid w:val="false"/>
        <w:ind w:firstLine="880" w:end="0"/>
        <w:jc w:val="center"/>
        <w:rPr>
          <w:rFonts w:ascii="方正小标宋简体" w:hAnsi="方正小标宋简体" w:eastAsia="方正小标宋简体"/>
          <w:sz w:val="44"/>
          <w:szCs w:val="44"/>
        </w:rPr>
      </w:pPr>
      <w:r>
        <w:rPr>
          <w:rFonts w:eastAsia="方正小标宋简体" w:ascii="方正小标宋简体" w:hAnsi="方正小标宋简体"/>
          <w:sz w:val="44"/>
          <w:szCs w:val="44"/>
        </w:rPr>
      </w:r>
    </w:p>
    <w:p>
      <w:pPr>
        <w:pStyle w:val="Normal"/>
        <w:snapToGrid w:val="false"/>
        <w:ind w:firstLine="880" w:end="0"/>
        <w:jc w:val="center"/>
        <w:rPr>
          <w:rFonts w:ascii="方正小标宋简体" w:hAnsi="方正小标宋简体" w:eastAsia="方正小标宋简体"/>
          <w:sz w:val="44"/>
          <w:szCs w:val="44"/>
        </w:rPr>
      </w:pPr>
      <w:r>
        <w:rPr>
          <w:rFonts w:eastAsia="方正小标宋简体" w:ascii="方正小标宋简体" w:hAnsi="方正小标宋简体"/>
          <w:sz w:val="44"/>
          <w:szCs w:val="44"/>
        </w:rPr>
      </w:r>
    </w:p>
    <w:p>
      <w:pPr>
        <w:pStyle w:val="Normal"/>
        <w:snapToGrid w:val="false"/>
        <w:jc w:val="both"/>
        <w:rPr>
          <w:rFonts w:ascii="方正小标宋简体" w:hAnsi="方正小标宋简体" w:eastAsia="方正小标宋简体"/>
          <w:sz w:val="44"/>
          <w:szCs w:val="44"/>
        </w:rPr>
      </w:pPr>
      <w:r>
        <w:rPr>
          <w:rFonts w:eastAsia="方正小标宋简体" w:ascii="方正小标宋简体" w:hAnsi="方正小标宋简体"/>
          <w:sz w:val="44"/>
          <w:szCs w:val="44"/>
        </w:rPr>
      </w:r>
    </w:p>
    <w:p>
      <w:pPr>
        <w:pStyle w:val="Normal"/>
        <w:snapToGrid w:val="false"/>
        <w:ind w:firstLine="880" w:end="0"/>
        <w:jc w:val="center"/>
        <w:rPr>
          <w:rFonts w:ascii="方正小标宋简体" w:hAnsi="方正小标宋简体" w:eastAsia="方正小标宋简体"/>
          <w:sz w:val="44"/>
          <w:szCs w:val="44"/>
        </w:rPr>
      </w:pPr>
      <w:r>
        <w:rPr>
          <w:rFonts w:eastAsia="方正小标宋简体" w:ascii="方正小标宋简体" w:hAnsi="方正小标宋简体"/>
          <w:sz w:val="44"/>
          <w:szCs w:val="44"/>
        </w:rPr>
      </w:r>
    </w:p>
    <w:p>
      <w:pPr>
        <w:pStyle w:val="Normal"/>
        <w:snapToGrid w:val="false"/>
        <w:jc w:val="both"/>
        <w:rPr>
          <w:rFonts w:ascii="方正小标宋_GBK" w:hAnsi="方正小标宋_GBK" w:eastAsia="方正小标宋_GBK" w:cs="方正小标宋_GBK"/>
          <w:sz w:val="40"/>
          <w:szCs w:val="40"/>
        </w:rPr>
      </w:pPr>
      <w:r>
        <w:rPr>
          <w:rFonts w:eastAsia="方正小标宋_GBK" w:cs="方正小标宋_GBK" w:ascii="方正小标宋_GBK" w:hAnsi="方正小标宋_GBK"/>
          <w:sz w:val="40"/>
          <w:szCs w:val="40"/>
        </w:rPr>
      </w:r>
    </w:p>
    <w:p>
      <w:pPr>
        <w:pStyle w:val="Normal"/>
        <w:snapToGrid w:val="false"/>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分包方租赁施工机具一览表</w:t>
      </w:r>
    </w:p>
    <w:p>
      <w:pPr>
        <w:pStyle w:val="Normal"/>
        <w:snapToGrid w:val="false"/>
        <w:spacing w:lineRule="auto" w:line="360"/>
        <w:ind w:firstLine="560" w:end="0"/>
        <w:jc w:val="end"/>
        <w:rPr>
          <w:rFonts w:ascii="方正楷体_GBK" w:hAnsi="方正楷体_GBK" w:eastAsia="方正楷体_GBK" w:cs="方正楷体_GBK"/>
          <w:sz w:val="28"/>
          <w:szCs w:val="28"/>
        </w:rPr>
      </w:pPr>
      <w:r>
        <w:rPr>
          <w:rFonts w:ascii="方正楷体_GBK" w:hAnsi="方正楷体_GBK" w:cs="方正楷体_GBK" w:eastAsia="方正楷体_GBK"/>
          <w:sz w:val="28"/>
          <w:szCs w:val="28"/>
        </w:rPr>
        <w:t>附表四</w:t>
      </w:r>
    </w:p>
    <w:tbl>
      <w:tblPr>
        <w:tblW w:w="6634" w:type="dxa"/>
        <w:jc w:val="start"/>
        <w:tblInd w:w="0" w:type="dxa"/>
        <w:tblLayout w:type="fixed"/>
        <w:tblCellMar>
          <w:top w:w="0" w:type="dxa"/>
          <w:start w:w="57" w:type="dxa"/>
          <w:bottom w:w="0" w:type="dxa"/>
          <w:end w:w="57" w:type="dxa"/>
        </w:tblCellMar>
      </w:tblPr>
      <w:tblGrid>
        <w:gridCol w:w="712"/>
        <w:gridCol w:w="1212"/>
        <w:gridCol w:w="786"/>
        <w:gridCol w:w="668"/>
        <w:gridCol w:w="712"/>
        <w:gridCol w:w="798"/>
        <w:gridCol w:w="960"/>
        <w:gridCol w:w="786"/>
      </w:tblGrid>
      <w:tr>
        <w:trPr/>
        <w:tc>
          <w:tcPr>
            <w:tcW w:w="7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编号</w:t>
            </w:r>
          </w:p>
        </w:tc>
        <w:tc>
          <w:tcPr>
            <w:tcW w:w="12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机具名称</w:t>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型号规格</w:t>
            </w:r>
          </w:p>
        </w:tc>
        <w:tc>
          <w:tcPr>
            <w:tcW w:w="6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单位</w:t>
            </w:r>
          </w:p>
        </w:tc>
        <w:tc>
          <w:tcPr>
            <w:tcW w:w="7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数量</w:t>
            </w:r>
          </w:p>
        </w:tc>
        <w:tc>
          <w:tcPr>
            <w:tcW w:w="79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单价</w:t>
            </w:r>
          </w:p>
          <w:p>
            <w:pPr>
              <w:pStyle w:val="Normal"/>
              <w:snapToGrid w:val="false"/>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（元）</w:t>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合价（租金）（元）</w:t>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备  注</w:t>
            </w:r>
          </w:p>
        </w:tc>
      </w:tr>
      <w:tr>
        <w:trPr/>
        <w:tc>
          <w:tcPr>
            <w:tcW w:w="7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21"/>
              </w:rPr>
            </w:pPr>
            <w:r>
              <w:rPr>
                <w:rFonts w:eastAsia="方正书宋_GBK" w:cs="方正书宋_GBK" w:ascii="方正书宋_GBK" w:hAnsi="方正书宋_GBK"/>
                <w:sz w:val="18"/>
                <w:szCs w:val="21"/>
              </w:rPr>
            </w:r>
          </w:p>
        </w:tc>
        <w:tc>
          <w:tcPr>
            <w:tcW w:w="12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6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9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7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12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6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9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7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12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6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9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7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12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6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9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7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12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6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9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7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12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6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9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7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12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6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9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7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12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6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9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7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12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6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9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7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12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6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9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7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12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6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9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bl>
    <w:p>
      <w:pPr>
        <w:pStyle w:val="Normal"/>
        <w:snapToGrid w:val="false"/>
        <w:spacing w:lineRule="auto" w:line="360"/>
        <w:ind w:firstLine="420" w:end="0"/>
        <w:rPr>
          <w:szCs w:val="21"/>
        </w:rPr>
      </w:pPr>
      <w:r>
        <w:rPr>
          <w:szCs w:val="21"/>
        </w:rPr>
      </w:r>
    </w:p>
    <w:p>
      <w:pPr>
        <w:pStyle w:val="Normal"/>
        <w:snapToGrid w:val="false"/>
        <w:ind w:firstLine="880" w:end="0"/>
        <w:jc w:val="center"/>
        <w:rPr>
          <w:rFonts w:ascii="方正小标宋简体" w:hAnsi="方正小标宋简体" w:eastAsia="方正小标宋简体"/>
          <w:sz w:val="44"/>
          <w:szCs w:val="44"/>
        </w:rPr>
      </w:pPr>
      <w:r>
        <w:rPr>
          <w:rFonts w:eastAsia="方正小标宋简体" w:ascii="方正小标宋简体" w:hAnsi="方正小标宋简体"/>
          <w:sz w:val="44"/>
          <w:szCs w:val="44"/>
        </w:rPr>
      </w:r>
    </w:p>
    <w:p>
      <w:pPr>
        <w:pStyle w:val="Normal"/>
        <w:snapToGrid w:val="false"/>
        <w:ind w:firstLine="880" w:end="0"/>
        <w:jc w:val="center"/>
        <w:rPr>
          <w:rFonts w:ascii="方正小标宋简体" w:hAnsi="方正小标宋简体" w:eastAsia="方正小标宋简体"/>
          <w:sz w:val="44"/>
          <w:szCs w:val="44"/>
        </w:rPr>
      </w:pPr>
      <w:r>
        <w:rPr>
          <w:rFonts w:eastAsia="方正小标宋简体" w:ascii="方正小标宋简体" w:hAnsi="方正小标宋简体"/>
          <w:sz w:val="44"/>
          <w:szCs w:val="44"/>
        </w:rPr>
      </w:r>
    </w:p>
    <w:p>
      <w:pPr>
        <w:pStyle w:val="Normal"/>
        <w:snapToGrid w:val="false"/>
        <w:ind w:firstLine="880" w:end="0"/>
        <w:jc w:val="center"/>
        <w:rPr>
          <w:rFonts w:ascii="方正小标宋简体" w:hAnsi="方正小标宋简体" w:eastAsia="方正小标宋简体"/>
          <w:sz w:val="44"/>
          <w:szCs w:val="44"/>
        </w:rPr>
      </w:pPr>
      <w:r>
        <w:rPr>
          <w:rFonts w:eastAsia="方正小标宋简体" w:ascii="方正小标宋简体" w:hAnsi="方正小标宋简体"/>
          <w:sz w:val="44"/>
          <w:szCs w:val="44"/>
        </w:rPr>
      </w:r>
    </w:p>
    <w:p>
      <w:pPr>
        <w:pStyle w:val="Normal"/>
        <w:snapToGrid w:val="false"/>
        <w:jc w:val="both"/>
        <w:rPr>
          <w:rFonts w:ascii="方正小标宋简体" w:hAnsi="方正小标宋简体" w:eastAsia="方正小标宋简体"/>
          <w:sz w:val="44"/>
          <w:szCs w:val="44"/>
        </w:rPr>
      </w:pPr>
      <w:r>
        <w:rPr>
          <w:rFonts w:eastAsia="方正小标宋简体" w:ascii="方正小标宋简体" w:hAnsi="方正小标宋简体"/>
          <w:sz w:val="44"/>
          <w:szCs w:val="44"/>
        </w:rPr>
      </w:r>
    </w:p>
    <w:p>
      <w:pPr>
        <w:pStyle w:val="Normal"/>
        <w:snapToGrid w:val="false"/>
        <w:jc w:val="both"/>
        <w:rPr>
          <w:rFonts w:ascii="方正小标宋简体" w:hAnsi="方正小标宋简体" w:eastAsia="方正小标宋简体"/>
          <w:sz w:val="44"/>
          <w:szCs w:val="44"/>
        </w:rPr>
      </w:pPr>
      <w:r>
        <w:rPr>
          <w:rFonts w:eastAsia="方正小标宋简体" w:ascii="方正小标宋简体" w:hAnsi="方正小标宋简体"/>
          <w:sz w:val="44"/>
          <w:szCs w:val="44"/>
        </w:rPr>
      </w:r>
    </w:p>
    <w:p>
      <w:pPr>
        <w:pStyle w:val="Normal"/>
        <w:snapToGrid w:val="false"/>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临时设施使用一览表</w:t>
      </w:r>
    </w:p>
    <w:p>
      <w:pPr>
        <w:pStyle w:val="Normal"/>
        <w:snapToGrid w:val="false"/>
        <w:spacing w:lineRule="auto" w:line="360"/>
        <w:ind w:firstLine="560" w:end="0"/>
        <w:jc w:val="end"/>
        <w:rPr>
          <w:rFonts w:ascii="方正楷体_GBK" w:hAnsi="方正楷体_GBK" w:eastAsia="方正楷体_GBK" w:cs="方正楷体_GBK"/>
          <w:sz w:val="28"/>
          <w:szCs w:val="28"/>
        </w:rPr>
      </w:pPr>
      <w:r>
        <w:rPr>
          <w:rFonts w:ascii="方正楷体_GBK" w:hAnsi="方正楷体_GBK" w:cs="方正楷体_GBK" w:eastAsia="方正楷体_GBK"/>
          <w:sz w:val="28"/>
          <w:szCs w:val="28"/>
        </w:rPr>
        <w:t>附表五</w:t>
      </w:r>
    </w:p>
    <w:tbl>
      <w:tblPr>
        <w:tblW w:w="6634" w:type="dxa"/>
        <w:jc w:val="start"/>
        <w:tblInd w:w="0" w:type="dxa"/>
        <w:tblLayout w:type="fixed"/>
        <w:tblCellMar>
          <w:top w:w="0" w:type="dxa"/>
          <w:start w:w="57" w:type="dxa"/>
          <w:bottom w:w="0" w:type="dxa"/>
          <w:end w:w="57" w:type="dxa"/>
        </w:tblCellMar>
      </w:tblPr>
      <w:tblGrid>
        <w:gridCol w:w="1072"/>
        <w:gridCol w:w="575"/>
        <w:gridCol w:w="768"/>
        <w:gridCol w:w="630"/>
        <w:gridCol w:w="630"/>
        <w:gridCol w:w="631"/>
        <w:gridCol w:w="718"/>
        <w:gridCol w:w="891"/>
        <w:gridCol w:w="719"/>
      </w:tblGrid>
      <w:tr>
        <w:trPr/>
        <w:tc>
          <w:tcPr>
            <w:tcW w:w="1072" w:type="dxa"/>
            <w:vMerge w:val="restart"/>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名称</w:t>
            </w:r>
          </w:p>
        </w:tc>
        <w:tc>
          <w:tcPr>
            <w:tcW w:w="575" w:type="dxa"/>
            <w:vMerge w:val="restart"/>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单位</w:t>
            </w:r>
          </w:p>
        </w:tc>
        <w:tc>
          <w:tcPr>
            <w:tcW w:w="768" w:type="dxa"/>
            <w:vMerge w:val="restart"/>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数量</w:t>
            </w:r>
          </w:p>
        </w:tc>
        <w:tc>
          <w:tcPr>
            <w:tcW w:w="1891" w:type="dxa"/>
            <w:gridSpan w:val="3"/>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使用期限</w:t>
            </w:r>
          </w:p>
        </w:tc>
        <w:tc>
          <w:tcPr>
            <w:tcW w:w="718" w:type="dxa"/>
            <w:vMerge w:val="restart"/>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单价</w:t>
            </w:r>
          </w:p>
        </w:tc>
        <w:tc>
          <w:tcPr>
            <w:tcW w:w="891" w:type="dxa"/>
            <w:vMerge w:val="restart"/>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合价</w:t>
            </w:r>
          </w:p>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（元）</w:t>
            </w:r>
          </w:p>
        </w:tc>
        <w:tc>
          <w:tcPr>
            <w:tcW w:w="719" w:type="dxa"/>
            <w:vMerge w:val="restart"/>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备  注</w:t>
            </w:r>
          </w:p>
        </w:tc>
      </w:tr>
      <w:tr>
        <w:trPr/>
        <w:tc>
          <w:tcPr>
            <w:tcW w:w="10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7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76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3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起始</w:t>
            </w:r>
          </w:p>
          <w:p>
            <w:pPr>
              <w:pStyle w:val="Normal"/>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时间</w:t>
            </w:r>
          </w:p>
        </w:tc>
        <w:tc>
          <w:tcPr>
            <w:tcW w:w="63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终止</w:t>
            </w:r>
          </w:p>
          <w:p>
            <w:pPr>
              <w:pStyle w:val="Normal"/>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时间</w:t>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合计</w:t>
            </w:r>
          </w:p>
          <w:p>
            <w:pPr>
              <w:pStyle w:val="Normal"/>
              <w:spacing w:lineRule="auto" w:line="36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天数</w:t>
            </w:r>
          </w:p>
        </w:tc>
        <w:tc>
          <w:tcPr>
            <w:tcW w:w="71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9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71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c>
          <w:tcPr>
            <w:tcW w:w="10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7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7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7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9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71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c>
          <w:tcPr>
            <w:tcW w:w="10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7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7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7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9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71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c>
          <w:tcPr>
            <w:tcW w:w="10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sz w:val="18"/>
                <w:szCs w:val="21"/>
              </w:rPr>
            </w:pPr>
            <w:r>
              <w:rPr>
                <w:rFonts w:eastAsia="方正书宋_GBK" w:cs="方正书宋_GBK" w:ascii="方正书宋_GBK" w:hAnsi="方正书宋_GBK"/>
                <w:sz w:val="18"/>
                <w:szCs w:val="21"/>
              </w:rPr>
            </w:r>
          </w:p>
        </w:tc>
        <w:tc>
          <w:tcPr>
            <w:tcW w:w="57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6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6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9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1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10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57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6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6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9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1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10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57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6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6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9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1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10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57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6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6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9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1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10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57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6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6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9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1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r>
        <w:trPr/>
        <w:tc>
          <w:tcPr>
            <w:tcW w:w="10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57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6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6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89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c>
          <w:tcPr>
            <w:tcW w:w="71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szCs w:val="21"/>
              </w:rPr>
            </w:pPr>
            <w:r>
              <w:rPr>
                <w:szCs w:val="21"/>
              </w:rPr>
            </w:r>
          </w:p>
        </w:tc>
      </w:tr>
    </w:tbl>
    <w:p>
      <w:pPr>
        <w:pStyle w:val="Normal"/>
        <w:rPr/>
      </w:pPr>
      <w:r>
        <w:rPr/>
      </w:r>
    </w:p>
    <w:sectPr>
      <w:footerReference w:type="default" r:id="rId2"/>
      <w:type w:val="nextPage"/>
      <w:pgSz w:w="9184" w:h="12983"/>
      <w:pgMar w:left="1361" w:right="1304" w:gutter="0" w:header="0" w:top="1701" w:footer="992" w:bottom="1531"/>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黑体">
    <w:charset w:val="86"/>
    <w:family w:val="auto"/>
    <w:pitch w:val="default"/>
  </w:font>
  <w:font w:name="Liberation Sans">
    <w:altName w:val="Arial"/>
    <w:charset w:val="01" w:characterSet="utf-8"/>
    <w:family w:val="swiss"/>
    <w:pitch w:val="variable"/>
  </w:font>
  <w:font w:name="楷体_GB2312">
    <w:altName w:val="楷体"/>
    <w:charset w:val="86"/>
    <w:family w:val="modern"/>
    <w:pitch w:val="default"/>
  </w:font>
  <w:font w:name="方正小标宋简体">
    <w:charset w:val="86"/>
    <w:family w:val="auto"/>
    <w:pitch w:val="default"/>
  </w:font>
  <w:font w:name="方正小标宋_GBK">
    <w:charset w:val="86"/>
    <w:family w:val="auto"/>
    <w:pitch w:val="default"/>
  </w:font>
  <w:font w:name="方正书宋_GBK">
    <w:charset w:val="86"/>
    <w:family w:val="auto"/>
    <w:pitch w:val="default"/>
  </w:font>
  <w:font w:name="方正黑体_GBK">
    <w:charset w:val="86"/>
    <w:family w:val="auto"/>
    <w:pitch w:val="default"/>
  </w:font>
  <w:font w:name="方正楷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6">
              <wp:simplePos x="0" y="0"/>
              <wp:positionH relativeFrom="margin">
                <wp:align>center</wp:align>
              </wp:positionH>
              <wp:positionV relativeFrom="paragraph">
                <wp:posOffset>635</wp:posOffset>
              </wp:positionV>
              <wp:extent cx="114935" cy="131445"/>
              <wp:effectExtent l="0" t="0" r="0" b="0"/>
              <wp:wrapSquare wrapText="bothSides"/>
              <wp:docPr id="2" name="Frame2"/>
              <a:graphic xmlns:a="http://schemas.openxmlformats.org/drawingml/2006/main">
                <a:graphicData uri="http://schemas.microsoft.com/office/word/2010/wordprocessingShape">
                  <wps:wsp>
                    <wps:cNvSpPr txBox="1"/>
                    <wps:spPr>
                      <a:xfrm>
                        <a:off x="0" y="0"/>
                        <a:ext cx="11493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15</w:t>
                          </w:r>
                          <w:r>
                            <w:rPr/>
                            <w:fldChar w:fldCharType="end"/>
                          </w:r>
                        </w:p>
                      </w:txbxContent>
                    </wps:txbx>
                    <wps:bodyPr anchor="t" lIns="0" tIns="0" rIns="0" bIns="0">
                      <a:noAutofit/>
                    </wps:bodyPr>
                  </wps:wsp>
                </a:graphicData>
              </a:graphic>
            </wp:anchor>
          </w:drawing>
        </mc:Choice>
        <mc:Fallback>
          <w:pict>
            <v:rect fillcolor="#FFFFFF" style="position:absolute;rotation:-0;width:9.05pt;height:10.35pt;mso-wrap-distance-left:0pt;mso-wrap-distance-right:0pt;mso-wrap-distance-top:0pt;mso-wrap-distance-bottom:0pt;margin-top:0.05pt;mso-position-vertical-relative:text;margin-left:158.45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15</w:t>
                    </w:r>
                    <w:r>
                      <w:rPr/>
                      <w:fldChar w:fldCharType="end"/>
                    </w:r>
                  </w:p>
                </w:txbxContent>
              </v:textbox>
              <w10:wrap type="square"/>
            </v:rect>
          </w:pict>
        </mc:Fallback>
      </mc:AlternateContent>
    </w:r>
  </w:p>
</w:ftr>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2Char">
    <w:name w:val="样式2 Char"/>
    <w:basedOn w:val="Style14"/>
    <w:qFormat/>
    <w:rPr>
      <w:rFonts w:ascii="黑体" w:hAnsi="黑体" w:eastAsia="黑体"/>
      <w:kern w:val="2"/>
      <w:sz w:val="24"/>
      <w:szCs w:val="24"/>
      <w:lang w:val="en-US" w:eastAsia="zh-CN" w:bidi="ar-SA"/>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BodyTextIndent">
    <w:name w:val="Body Text Indent"/>
    <w:basedOn w:val="Normal"/>
    <w:pPr>
      <w:ind w:hanging="0" w:start="105" w:end="0"/>
    </w:pPr>
    <w:rPr>
      <w:rFonts w:ascii="楷体_GB2312;楷体" w:hAnsi="楷体_GB2312;楷体" w:eastAsia="楷体_GB2312;楷体"/>
      <w:spacing w:val="-4"/>
      <w:sz w:val="28"/>
      <w:szCs w:val="20"/>
    </w:rPr>
  </w:style>
  <w:style w:type="paragraph" w:styleId="3">
    <w:name w:val="样式3"/>
    <w:basedOn w:val="Normal"/>
    <w:qFormat/>
    <w:pPr>
      <w:snapToGrid w:val="false"/>
      <w:spacing w:lineRule="auto" w:line="360"/>
      <w:jc w:val="center"/>
    </w:pPr>
    <w:rPr>
      <w:rFonts w:ascii="方正小标宋简体" w:hAnsi="方正小标宋简体" w:eastAsia="方正小标宋简体"/>
      <w:sz w:val="44"/>
      <w:szCs w:val="44"/>
    </w:rPr>
  </w:style>
  <w:style w:type="paragraph" w:styleId="2">
    <w:name w:val="样式2"/>
    <w:basedOn w:val="Normal"/>
    <w:qFormat/>
    <w:pPr>
      <w:snapToGrid w:val="false"/>
      <w:spacing w:lineRule="auto" w:line="360"/>
      <w:ind w:firstLine="480" w:start="0" w:end="0"/>
    </w:pPr>
    <w:rPr>
      <w:rFonts w:ascii="黑体" w:hAnsi="黑体" w:eastAsia="黑体"/>
      <w:sz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5760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2010-05-13T16:19:00Z</dcterms:created>
  <dc:creator>袁弘信</dc:creator>
  <dc:description/>
  <dc:language>zh-CN</dc:language>
  <cp:lastModifiedBy>袁弘信</cp:lastModifiedBy>
  <dcterms:modified xsi:type="dcterms:W3CDTF">2022-02-18T17:22:28Z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