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>JF-2008-041</w:t>
      </w:r>
      <w:r>
        <w:rPr>
          <w:szCs w:val="21"/>
        </w:rPr>
        <w:t xml:space="preserve">                            </w:t>
      </w:r>
      <w:r>
        <w:rPr>
          <w:szCs w:val="21"/>
        </w:rPr>
        <w:t>合同编号：{合同编号}</w:t>
      </w:r>
    </w:p>
    <w:p>
      <w:pPr>
        <w:pStyle w:val="3"/>
        <w:rPr/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天津市木材买卖合同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签订时间：{签订时间}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签订地点：{签订地点}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根据{法律法规依据}、{相关规定}及其他有关法律、行政法规的规定，买卖双方在{原则基础}上，就{具体事项}达成协议如下：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所购木材基本情况 {单位}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10"/>
        <w:gridCol w:w="552"/>
        <w:gridCol w:w="495"/>
        <w:gridCol w:w="881"/>
        <w:gridCol w:w="547"/>
        <w:gridCol w:w="725"/>
        <w:gridCol w:w="636"/>
        <w:gridCol w:w="469"/>
        <w:gridCol w:w="652"/>
        <w:gridCol w:w="652"/>
      </w:tblGrid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品种</w:t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品牌</w:t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规格型号</w:t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等级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树材种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总价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4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</w:tr>
      <w:tr>
        <w:trPr>
          <w:trHeight w:val="312" w:hRule="atLeast"/>
        </w:trPr>
        <w:tc>
          <w:tcPr>
            <w:tcW w:w="6519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合计人民币（大写）   万   仟  佰  拾  元  角   分（小写）：￥        元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第二条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质量标准：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{质量标准}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第三条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交货：{交货条款}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294"/>
        <w:gridCol w:w="1154"/>
        <w:gridCol w:w="541"/>
        <w:gridCol w:w="635"/>
        <w:gridCol w:w="846"/>
        <w:gridCol w:w="635"/>
        <w:gridCol w:w="635"/>
        <w:gridCol w:w="635"/>
        <w:gridCol w:w="634"/>
        <w:gridCol w:w="510"/>
      </w:tblGrid>
      <w:tr>
        <w:trPr>
          <w:trHeight w:val="312" w:hRule="atLeast"/>
        </w:trPr>
        <w:tc>
          <w:tcPr>
            <w:tcW w:w="144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收货单位</w:t>
            </w:r>
          </w:p>
        </w:tc>
        <w:tc>
          <w:tcPr>
            <w:tcW w:w="202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到       站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时间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地点</w:t>
            </w:r>
          </w:p>
        </w:tc>
        <w:tc>
          <w:tcPr>
            <w:tcW w:w="11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方式</w:t>
            </w:r>
          </w:p>
        </w:tc>
      </w:tr>
      <w:tr>
        <w:trPr>
          <w:trHeight w:val="312" w:hRule="atLeast"/>
        </w:trPr>
        <w:tc>
          <w:tcPr>
            <w:tcW w:w="144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路局</w:t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车站</w:t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专用线</w:t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送货</w:t>
            </w:r>
          </w:p>
        </w:tc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自提</w:t>
            </w:r>
          </w:p>
        </w:tc>
      </w:tr>
      <w:tr>
        <w:trPr>
          <w:trHeight w:val="312" w:hRule="atLeast"/>
        </w:trPr>
        <w:tc>
          <w:tcPr>
            <w:tcW w:w="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2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包装标准及包装物的供应与回收：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{包装标准及包装物相关信息}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第四条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验收：对于木材产品的规格型号、数量、材质等与约定不符或有其他质量问题的，买方异议期为卖方交货后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{异议期限} 日内，异议经核实，卖方应无条件补足或换货。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验收标准：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{验收标准内容}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第五条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付款方式及时间：双方约定以第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{付款方式}种方</w:t>
      </w:r>
      <w:r>
        <w:rPr>
          <w:rFonts w:ascii="方正书宋_GBK" w:hAnsi="方正书宋_GBK" w:cs="方正书宋_GBK" w:eastAsia="方正书宋_GBK"/>
          <w:sz w:val="22"/>
          <w:szCs w:val="22"/>
        </w:rPr>
        <w:t>式支付价款。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签定合同时，买方支付（□定金  □预付款）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{预付款金额}元</w:t>
      </w:r>
      <w:r>
        <w:rPr>
          <w:rFonts w:ascii="方正书宋_GBK" w:hAnsi="方正书宋_GBK" w:cs="方正书宋_GBK" w:eastAsia="方正书宋_GBK"/>
          <w:sz w:val="22"/>
          <w:szCs w:val="22"/>
        </w:rPr>
        <w:t>（定金不得超过总价款的2</w:t>
      </w:r>
      <w:r>
        <w:rPr>
          <w:rFonts w:eastAsia="方正书宋_GBK" w:cs="方正书宋_GBK" w:ascii="方正书宋_GBK" w:hAnsi="方正书宋_GBK"/>
          <w:sz w:val="22"/>
          <w:szCs w:val="22"/>
        </w:rPr>
        <w:t>0%）</w:t>
      </w:r>
      <w:r>
        <w:rPr>
          <w:rFonts w:ascii="方正书宋_GBK" w:hAnsi="方正书宋_GBK" w:cs="方正书宋_GBK" w:eastAsia="方正书宋_GBK"/>
          <w:sz w:val="22"/>
          <w:szCs w:val="22"/>
        </w:rPr>
        <w:t>，货到验收后一次性支付余款；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{内容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第六条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（一）卖方违约责任：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、木材产品经专业机构检测不符合国家标准或合同约定质量标准的，卖方应无条件换、退货，或赔偿买方由此受到的损失。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、卖方迟延交货的，每日应向买方支付迟延部分价款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{迟延违约</w:t>
      </w:r>
      <w:r>
        <w:rPr>
          <w:rFonts w:eastAsia="方正书宋_GBK" w:cs="方正书宋_GBK" w:ascii="方正书宋_GBK" w:hAnsi="方正书宋_GBK"/>
          <w:sz w:val="22"/>
          <w:szCs w:val="22"/>
        </w:rPr>
        <w:t>金</w:t>
      </w:r>
      <w:r>
        <w:rPr>
          <w:rFonts w:ascii="方正书宋_GBK" w:hAnsi="方正书宋_GBK" w:cs="方正书宋_GBK" w:eastAsia="方正书宋_GBK"/>
          <w:sz w:val="22"/>
          <w:szCs w:val="22"/>
        </w:rPr>
        <w:t>比例}%的违约金；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迟延交货</w:t>
      </w:r>
      <w:r>
        <w:rPr>
          <w:rFonts w:ascii="方正书宋_GBK" w:hAnsi="方正书宋_GBK" w:cs="方正书宋_GBK" w:eastAsia="方正书宋_GBK"/>
          <w:sz w:val="22"/>
          <w:szCs w:val="22"/>
        </w:rPr>
        <w:t>{迟延天数}日的，除支付违约金外，买方还有权解除合同。卖方已收取定金、预付款或价款应全部返还，但买方在不收取违约金的情况下，有权要求卖方双倍返还定金。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（二）买方违约责任：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、买方迟延提货的，每日应向卖方支付迟延部分价款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{违约金比例}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、买方无正当理由单方解除合同的，应赔偿由此给卖方造成的损失，已支付定金的无权要求返还。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第七条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争议解决方式：{争议解决方式}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本合同在履行过程中发生的争议，由双方当事人协商解决；协商不成的，按下列第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{争议解决方</w:t>
      </w:r>
      <w:r>
        <w:rPr>
          <w:rFonts w:ascii="方正书宋_GBK" w:hAnsi="方正书宋_GBK" w:cs="方正书宋_GBK" w:eastAsia="方正书宋_GBK"/>
          <w:sz w:val="22"/>
          <w:szCs w:val="22"/>
        </w:rPr>
        <w:t>式}种方式解决：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{争议处理方式}仲裁委员会仲裁；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第八条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其他约定事项：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{其他约定事项}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第九条</w:t>
      </w:r>
      <w:r>
        <w:rPr>
          <w:rStyle w:val="2Char"/>
          <w:rFonts w:ascii="方正书宋_GBK" w:hAnsi="方正书宋_GBK" w:cs="方正书宋_GBK" w:eastAsia="方正书宋_GBK"/>
          <w:sz w:val="22"/>
          <w:szCs w:val="22"/>
          <w:lang w:val="en-US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对本合同的变更或补充不合理地减轻或免除{卖方责任}的，仍以本合同为准。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Style w:val="2Char"/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第十条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本合同未定事项，双方可协商签定补充协议。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买方（章）：{买方章}                          卖方（章）：{卖方章}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住所：{住所}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邮编：{邮编}  </w:t>
        <w:br/>
        <w:t>邮编：{邮编}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电话：{联系电话}  </w:t>
        <w:br/>
        <w:t>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法定代表人：{法定代表人}  </w:t>
        <w:br/>
        <w:t>法定代表人：{法定代表人}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开户银行：{开户银行}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号：{帐号}           帐    号：{帐号}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E-Mail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：{E-Mail}  </w:t>
        <w:br/>
        <w:t>E-Mail：{E-Mail}</w:t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auto"/>
    <w:pitch w:val="default"/>
  </w:font>
  <w:font w:name="楷体_GB2312">
    <w:altName w:val="楷体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2022-02-18T17:27:21Z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