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仿宋"/>
          <w:szCs w:val="32"/>
          <w:lang w:val="en-US" w:eastAsia="zh-CN"/>
        </w:rPr>
      </w:pPr>
      <w:r>
        <w:rPr>
          <w:rFonts w:eastAsia="仿宋" w:ascii="Times New Roman" w:hAnsi="Times New Roman"/>
          <w:b/>
          <w:sz w:val="28"/>
          <w:szCs w:val="28"/>
        </w:rPr>
        <w:t>JF-2020-082</w:t>
      </w:r>
      <w:r>
        <w:rPr>
          <w:rFonts w:eastAsia="仿宋" w:ascii="Times New Roman" w:hAnsi="Times New Roman"/>
          <w:sz w:val="28"/>
          <w:szCs w:val="28"/>
        </w:rPr>
        <w:t xml:space="preserve"> </w:t>
      </w:r>
      <w:r>
        <w:rPr>
          <w:rFonts w:eastAsia="仿宋" w:ascii="Times New Roman" w:hAnsi="Times New Roman"/>
          <w:color w:val="FF0000"/>
          <w:sz w:val="28"/>
          <w:szCs w:val="28"/>
        </w:rPr>
        <w:t xml:space="preserve"> </w:t>
      </w:r>
      <w:r>
        <w:rPr>
          <w:rFonts w:eastAsia="仿宋" w:ascii="Times New Roman" w:hAnsi="Times New Roman"/>
          <w:sz w:val="28"/>
          <w:szCs w:val="28"/>
        </w:rPr>
        <w:t xml:space="preserve"> </w:t>
      </w:r>
      <w:r>
        <w:rPr>
          <w:rFonts w:eastAsia="仿宋" w:ascii="Times New Roman" w:hAnsi="Times New Roman"/>
          <w:szCs w:val="32"/>
        </w:rPr>
        <w:t xml:space="preserve">                 </w:t>
      </w:r>
      <w:r>
        <w:rPr>
          <w:rFonts w:eastAsia="仿宋" w:ascii="Times New Roman" w:hAnsi="Times New Roman"/>
          <w:szCs w:val="32"/>
          <w:lang w:val="en-US" w:eastAsia="zh-CN"/>
        </w:rPr>
        <w:t xml:space="preserve">     </w:t>
      </w:r>
      <w:r>
        <w:rPr>
          <w:rFonts w:ascii="Times New Roman" w:hAnsi="Times New Roman" w:cs="Times New Roman"/>
          <w:b/>
          <w:color w:val="000000"/>
          <w:sz w:val="28"/>
          <w:szCs w:val="28"/>
        </w:rPr>
        <w:t>合同编号：{合同编号}</w:t>
      </w:r>
    </w:p>
    <w:p>
      <w:pPr>
        <w:pStyle w:val="Normal"/>
        <w:spacing w:lineRule="exact" w:line="560"/>
        <w:jc w:val="center"/>
        <w:rPr>
          <w:rFonts w:ascii="Times New Roman" w:hAnsi="Times New Roman" w:eastAsia="宋体"/>
          <w:sz w:val="28"/>
          <w:szCs w:val="28"/>
          <w:lang w:val="en-US" w:eastAsia="zh-CN"/>
        </w:rPr>
      </w:pPr>
      <w:r>
        <w:rPr>
          <w:rFonts w:eastAsia="宋体" w:ascii="Times New Roman" w:hAnsi="Times New Roman"/>
          <w:sz w:val="28"/>
          <w:szCs w:val="28"/>
          <w:lang w:val="en-US" w:eastAsia="zh-CN"/>
        </w:rPr>
      </w:r>
    </w:p>
    <w:p>
      <w:pPr>
        <w:pStyle w:val="Normal"/>
        <w:widowControl/>
        <w:snapToGrid w:val="false"/>
        <w:spacing w:lineRule="exact" w:line="560"/>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天津市农村集体资源性资产（四荒地）</w:t>
      </w:r>
    </w:p>
    <w:p>
      <w:pPr>
        <w:pStyle w:val="Normal"/>
        <w:widowControl/>
        <w:snapToGrid w:val="false"/>
        <w:spacing w:lineRule="exact" w:line="560"/>
        <w:jc w:val="center"/>
        <w:rPr>
          <w:rFonts w:ascii="Times New Roman" w:hAnsi="Times New Roman" w:eastAsia="宋体" w:cs="宋体"/>
          <w:b/>
          <w:bCs/>
          <w:kern w:val="0"/>
          <w:sz w:val="44"/>
          <w:szCs w:val="44"/>
        </w:rPr>
      </w:pPr>
      <w:r>
        <w:rPr>
          <w:rFonts w:ascii="方正小标宋_GBK" w:hAnsi="方正小标宋_GBK" w:cs="方正小标宋_GBK" w:eastAsia="方正小标宋_GBK"/>
          <w:kern w:val="0"/>
          <w:sz w:val="40"/>
          <w:szCs w:val="40"/>
        </w:rPr>
        <w:t>承包合同</w:t>
      </w:r>
    </w:p>
    <w:p>
      <w:pPr>
        <w:pStyle w:val="Normal"/>
        <w:widowControl/>
        <w:snapToGrid w:val="false"/>
        <w:spacing w:lineRule="exact" w:line="56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（本合同适用于村集体经济组织发包</w:t>
      </w:r>
    </w:p>
    <w:p>
      <w:pPr>
        <w:pStyle w:val="Normal"/>
        <w:widowControl/>
        <w:snapToGrid w:val="false"/>
        <w:spacing w:lineRule="exact" w:line="56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荒山、荒沟、荒丘、荒滩时使用）</w:t>
      </w:r>
    </w:p>
    <w:p>
      <w:pPr>
        <w:pStyle w:val="Normal"/>
        <w:widowControl/>
        <w:spacing w:lineRule="exact" w:line="560"/>
        <w:jc w:val="center"/>
        <w:rPr>
          <w:rFonts w:ascii="Times New Roman" w:hAnsi="Times New Roman" w:eastAsia="方正楷体_GBK" w:cs="宋体"/>
          <w:kern w:val="0"/>
          <w:sz w:val="28"/>
          <w:szCs w:val="32"/>
        </w:rPr>
      </w:pPr>
      <w:r>
        <w:rPr>
          <w:rFonts w:eastAsia="方正楷体_GBK" w:cs="宋体" w:ascii="Times New Roman" w:hAnsi="Times New Roman"/>
          <w:kern w:val="0"/>
          <w:sz w:val="28"/>
          <w:szCs w:val="32"/>
        </w:rPr>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rPr>
        <w:t>{发包方（以下简称甲方）</w:t>
      </w:r>
      <w:r>
        <w:rPr>
          <w:rFonts w:ascii="方正书宋_GBK" w:hAnsi="方正书宋_GBK" w:cs="方正书宋_GBK" w:eastAsia="方正书宋_GBK"/>
          <w:b/>
          <w:sz w:val="22"/>
          <w:szCs w:val="22"/>
          <w:u w:val="single"/>
        </w:rPr>
        <w:t>}：</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承包方（以下简称乙方）：</w:t>
      </w:r>
      <w:r>
        <w:rPr>
          <w:rFonts w:ascii="方正书宋_GBK" w:hAnsi="方正书宋_GBK" w:cs="方正书宋_GBK" w:eastAsia="方正书宋_GBK"/>
          <w:b/>
          <w:sz w:val="22"/>
          <w:szCs w:val="22"/>
          <w:u w:val="single"/>
        </w:rPr>
        <w:t>{承包方名称}</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sz w:val="22"/>
          <w:szCs w:val="22"/>
        </w:rPr>
        <w:t>为维护承包双方当事人的合法权益，根据《中华人民共和国合同法》、《中华人民共和国物权法》、《中华人民共和国农村土地承包法》、《中华人民共和国农村土地承包经营纠纷调解仲裁法》等法律、法规和国家有关政策规定以及本集体经济组织依法通过的农村</w:t>
      </w:r>
      <w:r>
        <w:rPr>
          <w:rFonts w:ascii="方正书宋_GBK" w:hAnsi="方正书宋_GBK" w:cs="方正书宋_GBK" w:eastAsia="方正书宋_GBK"/>
          <w:bCs/>
          <w:sz w:val="22"/>
          <w:szCs w:val="22"/>
        </w:rPr>
        <w:t>集体资源性资产发包</w:t>
      </w:r>
      <w:r>
        <w:rPr>
          <w:rFonts w:ascii="方正书宋_GBK" w:hAnsi="方正书宋_GBK" w:cs="方正书宋_GBK" w:eastAsia="方正书宋_GBK"/>
          <w:sz w:val="22"/>
          <w:szCs w:val="22"/>
        </w:rPr>
        <w:t>方案，甲乙双方本着平等、自愿、公平、诚信的原则，经双方协商一致，订立本合同。</w:t>
      </w:r>
    </w:p>
    <w:p>
      <w:pPr>
        <w:pStyle w:val="Normal"/>
        <w:keepNext w:val="false"/>
        <w:keepLines w:val="false"/>
        <w:pageBreakBefore w:val="false"/>
        <w:widowControl/>
        <w:numPr>
          <w:ilvl w:val="0"/>
          <w:numId w:val="17"/>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集</w:t>
      </w:r>
      <w:r>
        <w:rPr>
          <w:rFonts w:ascii="方正书宋_GBK" w:hAnsi="方正书宋_GBK" w:cs="方正书宋_GBK" w:eastAsia="方正书宋_GBK"/>
          <w:b/>
          <w:bCs/>
          <w:sz w:val="22"/>
          <w:szCs w:val="22"/>
        </w:rPr>
        <w:t>体资源性资产基本情况与用途</w:t>
      </w:r>
    </w:p>
    <w:p>
      <w:pPr>
        <w:pStyle w:val="Normal"/>
        <w:keepNext w:val="false"/>
        <w:keepLines w:val="false"/>
        <w:pageBreakBefore w:val="false"/>
        <w:widowControl/>
        <w:tabs>
          <w:tab w:val="clear" w:pos="420"/>
          <w:tab w:val="left" w:pos="0" w:leader="none"/>
        </w:tabs>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{地址}占</w:t>
      </w:r>
      <w:r>
        <w:rPr>
          <w:rFonts w:ascii="方正书宋_GBK" w:hAnsi="方正书宋_GBK" w:cs="方正书宋_GBK" w:eastAsia="方正书宋_GBK"/>
          <w:sz w:val="22"/>
          <w:szCs w:val="22"/>
          <w:u w:val="single"/>
        </w:rPr>
        <w:t>地总面积为{面积}亩的四荒地（详见资</w:t>
      </w:r>
      <w:r>
        <w:rPr>
          <w:rFonts w:ascii="方正书宋_GBK" w:hAnsi="方正书宋_GBK" w:cs="方正书宋_GBK" w:eastAsia="方正书宋_GBK"/>
          <w:sz w:val="22"/>
          <w:szCs w:val="22"/>
        </w:rPr>
        <w:t>源性资产基本</w:t>
      </w:r>
      <w:r>
        <w:rPr>
          <w:rFonts w:ascii="方正书宋_GBK" w:hAnsi="方正书宋_GBK" w:cs="方正书宋_GBK" w:eastAsia="方正书宋_GBK"/>
          <w:sz w:val="22"/>
          <w:szCs w:val="22"/>
          <w:u w:val="single"/>
        </w:rPr>
        <w:t>情况表）通过天津</w:t>
      </w:r>
      <w:r>
        <w:rPr>
          <w:rFonts w:ascii="方正书宋_GBK" w:hAnsi="方正书宋_GBK" w:cs="方正书宋_GBK" w:eastAsia="方正书宋_GBK"/>
          <w:sz w:val="22"/>
          <w:szCs w:val="22"/>
        </w:rPr>
        <w:t>市农村产权流转交易市场以{方式}（招标/拍卖/公开协商）方式承包给乙方</w:t>
      </w:r>
      <w:r>
        <w:rPr>
          <w:rFonts w:ascii="方正书宋_GBK" w:hAnsi="方正书宋_GBK" w:cs="方正书宋_GBK" w:eastAsia="方正书宋_GBK"/>
          <w:sz w:val="22"/>
          <w:szCs w:val="22"/>
          <w:u w:val="single"/>
        </w:rPr>
        <w:t>，从事{生产经营内</w:t>
      </w:r>
      <w:r>
        <w:rPr>
          <w:rFonts w:ascii="方正书宋_GBK" w:hAnsi="方正书宋_GBK" w:cs="方正书宋_GBK" w:eastAsia="方正书宋_GBK"/>
          <w:sz w:val="22"/>
          <w:szCs w:val="22"/>
        </w:rPr>
        <w:t>容}生</w:t>
      </w:r>
      <w:r>
        <w:rPr>
          <w:rFonts w:eastAsia="方正书宋_GBK" w:cs="方正书宋_GBK" w:ascii="方正书宋_GBK" w:hAnsi="方正书宋_GBK"/>
          <w:sz w:val="22"/>
          <w:szCs w:val="22"/>
        </w:rPr>
        <w:t>产</w:t>
      </w:r>
      <w:r>
        <w:rPr>
          <w:rFonts w:ascii="方正书宋_GBK" w:hAnsi="方正书宋_GBK" w:cs="方正书宋_GBK" w:eastAsia="方正书宋_GBK"/>
          <w:sz w:val="22"/>
          <w:szCs w:val="22"/>
        </w:rPr>
        <w:t>经营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11"/>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承包期限和交付时间</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承包期限为</w:t>
      </w:r>
      <w:r>
        <w:rPr>
          <w:rFonts w:ascii="方正书宋_GBK" w:hAnsi="方正书宋_GBK" w:cs="方正书宋_GBK" w:eastAsia="方正书宋_GBK"/>
          <w:sz w:val="22"/>
          <w:szCs w:val="22"/>
          <w:u w:val="single"/>
        </w:rPr>
        <w:t>{承包年</w:t>
      </w:r>
      <w:r>
        <w:rPr>
          <w:rFonts w:ascii="方正书宋_GBK" w:hAnsi="方正书宋_GBK" w:cs="方正书宋_GBK" w:eastAsia="方正书宋_GBK"/>
          <w:sz w:val="22"/>
          <w:szCs w:val="22"/>
        </w:rPr>
        <w:t>限}年</w:t>
      </w:r>
      <w:r>
        <w:rPr>
          <w:rFonts w:ascii="方正书宋_GBK" w:hAnsi="方正书宋_GBK" w:cs="方正书宋_GBK" w:eastAsia="方正书宋_GBK"/>
          <w:sz w:val="22"/>
          <w:szCs w:val="22"/>
          <w:u w:val="single"/>
        </w:rPr>
        <w:t>，自{起始</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始月}</w:t>
      </w:r>
      <w:r>
        <w:rPr>
          <w:rFonts w:ascii="方正书宋_GBK" w:hAnsi="方正书宋_GBK" w:cs="方正书宋_GBK" w:eastAsia="方正书宋_GBK"/>
          <w:sz w:val="22"/>
          <w:szCs w:val="22"/>
        </w:rPr>
        <w:t>月{起</w:t>
      </w:r>
      <w:r>
        <w:rPr>
          <w:rFonts w:ascii="方正书宋_GBK" w:hAnsi="方正书宋_GBK" w:cs="方正书宋_GBK" w:eastAsia="方正书宋_GBK"/>
          <w:sz w:val="22"/>
          <w:szCs w:val="22"/>
          <w:u w:val="single"/>
        </w:rPr>
        <w:t>始日}日起</w:t>
      </w:r>
      <w:r>
        <w:rPr>
          <w:rFonts w:ascii="方正书宋_GBK" w:hAnsi="方正书宋_GBK" w:cs="方正书宋_GBK" w:eastAsia="方正书宋_GBK"/>
          <w:sz w:val="22"/>
          <w:szCs w:val="22"/>
        </w:rPr>
        <w:t>至</w:t>
      </w:r>
      <w:r>
        <w:rPr>
          <w:rFonts w:ascii="方正书宋_GBK" w:hAnsi="方正书宋_GBK" w:cs="方正书宋_GBK" w:eastAsia="方正书宋_GBK"/>
          <w:sz w:val="22"/>
          <w:szCs w:val="22"/>
          <w:u w:val="single"/>
        </w:rPr>
        <w:t>{终止年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年{终</w:t>
      </w:r>
      <w:r>
        <w:rPr>
          <w:rFonts w:ascii="方正书宋_GBK" w:hAnsi="方正书宋_GBK" w:cs="方正书宋_GBK" w:eastAsia="方正书宋_GBK"/>
          <w:sz w:val="22"/>
          <w:szCs w:val="22"/>
        </w:rPr>
        <w:t>止月}月{终止</w:t>
      </w:r>
      <w:r>
        <w:rPr>
          <w:rFonts w:ascii="方正书宋_GBK" w:hAnsi="方正书宋_GBK" w:cs="方正书宋_GBK" w:eastAsia="方正书宋_GBK"/>
          <w:sz w:val="22"/>
          <w:szCs w:val="22"/>
          <w:u w:val="single"/>
        </w:rPr>
        <w:t>日}日止。</w:t>
      </w:r>
      <w:r>
        <w:rPr>
          <w:rFonts w:ascii="方正书宋_GBK" w:hAnsi="方正书宋_GBK" w:cs="方正书宋_GBK" w:eastAsia="方正书宋_GBK"/>
          <w:sz w:val="22"/>
          <w:szCs w:val="22"/>
        </w:rPr>
        <w:t>甲</w:t>
      </w:r>
      <w:r>
        <w:rPr>
          <w:rFonts w:ascii="方正书宋_GBK" w:hAnsi="方正书宋_GBK" w:cs="方正书宋_GBK" w:eastAsia="方正书宋_GBK"/>
          <w:sz w:val="22"/>
          <w:szCs w:val="22"/>
          <w:u w:val="single"/>
        </w:rPr>
        <w:t>方应于</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交付日</w:t>
      </w:r>
      <w:r>
        <w:rPr>
          <w:rFonts w:ascii="方正书宋_GBK" w:hAnsi="方正书宋_GBK" w:cs="方正书宋_GBK" w:eastAsia="方正书宋_GBK"/>
          <w:sz w:val="22"/>
          <w:szCs w:val="22"/>
        </w:rPr>
        <w:t>期}年{交付月}月{交付日}日之前将该四荒地交付乙方。</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承包费用与支付方式</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承包费用按下列第</w:t>
      </w:r>
      <w:r>
        <w:rPr>
          <w:rFonts w:ascii="方正书宋_GBK" w:hAnsi="方正书宋_GBK" w:cs="方正书宋_GBK" w:eastAsia="方正书宋_GBK"/>
          <w:sz w:val="22"/>
          <w:szCs w:val="22"/>
          <w:u w:val="single"/>
        </w:rPr>
        <w:t>{承包方</w:t>
      </w:r>
      <w:r>
        <w:rPr>
          <w:rFonts w:ascii="方正书宋_GBK" w:hAnsi="方正书宋_GBK" w:cs="方正书宋_GBK" w:eastAsia="方正书宋_GBK"/>
          <w:sz w:val="22"/>
          <w:szCs w:val="22"/>
        </w:rPr>
        <w:t>式}种方式计算：</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实物计费货币结算方式。乙方须</w:t>
      </w:r>
      <w:r>
        <w:rPr>
          <w:rFonts w:ascii="方正书宋_GBK" w:hAnsi="方正书宋_GBK" w:cs="方正书宋_GBK" w:eastAsia="方正书宋_GBK"/>
          <w:sz w:val="22"/>
          <w:szCs w:val="22"/>
          <w:u w:val="single"/>
        </w:rPr>
        <w:t>于 {年度} （</w:t>
      </w:r>
      <w:r>
        <w:rPr>
          <w:rFonts w:ascii="方正书宋_GBK" w:hAnsi="方正书宋_GBK" w:cs="方正书宋_GBK" w:eastAsia="方正书宋_GBK"/>
          <w:sz w:val="22"/>
          <w:szCs w:val="22"/>
        </w:rPr>
        <w:t>当/</w:t>
      </w:r>
      <w:r>
        <w:rPr>
          <w:rFonts w:eastAsia="方正书宋_GBK" w:cs="方正书宋_GBK" w:ascii="方正书宋_GBK" w:hAnsi="方正书宋_GBK"/>
          <w:sz w:val="22"/>
          <w:szCs w:val="22"/>
        </w:rPr>
        <w:t>前</w:t>
      </w:r>
      <w:r>
        <w:rPr>
          <w:rFonts w:ascii="方正书宋_GBK" w:hAnsi="方正书宋_GBK" w:cs="方正书宋_GBK" w:eastAsia="方正书宋_GBK"/>
          <w:sz w:val="22"/>
          <w:szCs w:val="22"/>
        </w:rPr>
        <w:t xml:space="preserve">一）年 </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 xml:space="preserve"> 前按每亩</w:t>
      </w:r>
      <w:r>
        <w:rPr>
          <w:rFonts w:ascii="方正书宋_GBK" w:hAnsi="方正书宋_GBK" w:cs="方正书宋_GBK" w:eastAsia="方正书宋_GBK"/>
          <w:sz w:val="22"/>
          <w:szCs w:val="22"/>
          <w:u w:val="single"/>
        </w:rPr>
        <w:t xml:space="preserve"> {产量</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斤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小</w:t>
      </w:r>
      <w:r>
        <w:rPr>
          <w:rFonts w:ascii="方正书宋_GBK" w:hAnsi="方正书宋_GBK" w:cs="方正书宋_GBK" w:eastAsia="方正书宋_GBK"/>
          <w:sz w:val="22"/>
          <w:szCs w:val="22"/>
        </w:rPr>
        <w:t>麦/</w:t>
      </w:r>
      <w:r>
        <w:rPr>
          <w:rFonts w:eastAsia="方正书宋_GBK" w:cs="方正书宋_GBK" w:ascii="方正书宋_GBK" w:hAnsi="方正书宋_GBK"/>
          <w:sz w:val="22"/>
          <w:szCs w:val="22"/>
        </w:rPr>
        <w:t>稻</w:t>
      </w:r>
      <w:r>
        <w:rPr>
          <w:rFonts w:ascii="方正书宋_GBK" w:hAnsi="方正书宋_GBK" w:cs="方正书宋_GBK" w:eastAsia="方正书宋_GBK"/>
          <w:sz w:val="22"/>
          <w:szCs w:val="22"/>
        </w:rPr>
        <w:t>谷/其他实物</w:t>
      </w:r>
      <w:r>
        <w:rPr>
          <w:rFonts w:ascii="方正书宋_GBK" w:hAnsi="方正书宋_GBK" w:cs="方正书宋_GBK" w:eastAsia="方正书宋_GBK"/>
          <w:sz w:val="22"/>
          <w:szCs w:val="22"/>
          <w:u w:val="single"/>
        </w:rPr>
        <w:t xml:space="preserve">）的                </w:t>
      </w:r>
      <w:r>
        <w:rPr>
          <w:rFonts w:ascii="方正书宋_GBK" w:hAnsi="方正书宋_GBK" w:cs="方正书宋_GBK" w:eastAsia="方正书宋_GBK"/>
          <w:sz w:val="22"/>
          <w:szCs w:val="22"/>
        </w:rPr>
        <w:t xml:space="preserve">  （市</w:t>
      </w:r>
      <w:r>
        <w:rPr>
          <w:rFonts w:eastAsia="方正书宋_GBK" w:cs="方正书宋_GBK" w:ascii="方正书宋_GBK" w:hAnsi="方正书宋_GBK"/>
          <w:sz w:val="22"/>
          <w:szCs w:val="22"/>
        </w:rPr>
        <w:t>场</w:t>
      </w:r>
      <w:r>
        <w:rPr>
          <w:rFonts w:ascii="方正书宋_GBK" w:hAnsi="方正书宋_GBK" w:cs="方正书宋_GBK" w:eastAsia="方正书宋_GBK"/>
          <w:sz w:val="22"/>
          <w:szCs w:val="22"/>
        </w:rPr>
        <w:t>价/当地政府收购指导价）为标准，折合成货币向甲方支付当年承包费。</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货币计费分期支付方式。承包费按照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标</w:t>
      </w:r>
      <w:r>
        <w:rPr>
          <w:rFonts w:ascii="方正书宋_GBK" w:hAnsi="方正书宋_GBK" w:cs="方正书宋_GBK" w:eastAsia="方正书宋_GBK"/>
          <w:sz w:val="22"/>
          <w:szCs w:val="22"/>
        </w:rPr>
        <w:t xml:space="preserve">准金额}    </w:t>
      </w:r>
      <w:r>
        <w:rPr>
          <w:rFonts w:ascii="方正书宋_GBK" w:hAnsi="方正书宋_GBK" w:cs="方正书宋_GBK" w:eastAsia="方正书宋_GBK"/>
          <w:sz w:val="22"/>
          <w:szCs w:val="22"/>
          <w:u w:val="single"/>
        </w:rPr>
        <w:t xml:space="preserve"> 元/亩标准</w:t>
      </w:r>
      <w:r>
        <w:rPr>
          <w:rFonts w:ascii="方正书宋_GBK" w:hAnsi="方正书宋_GBK" w:cs="方正书宋_GBK" w:eastAsia="方正书宋_GBK"/>
          <w:sz w:val="22"/>
          <w:szCs w:val="22"/>
        </w:rPr>
        <w:t>计</w:t>
      </w:r>
      <w:r>
        <w:rPr>
          <w:rFonts w:eastAsia="方正书宋_GBK" w:cs="方正书宋_GBK" w:ascii="方正书宋_GBK" w:hAnsi="方正书宋_GBK"/>
          <w:sz w:val="22"/>
          <w:szCs w:val="22"/>
        </w:rPr>
        <w:t>算</w:t>
      </w:r>
      <w:r>
        <w:rPr>
          <w:rFonts w:ascii="方正书宋_GBK" w:hAnsi="方正书宋_GBK" w:cs="方正书宋_GBK" w:eastAsia="方正书宋_GBK"/>
          <w:sz w:val="22"/>
          <w:szCs w:val="22"/>
        </w:rPr>
        <w:t xml:space="preserve">，合计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年度</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 xml:space="preserve">包费}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元/年</w:t>
      </w:r>
      <w:r>
        <w:rPr>
          <w:rFonts w:ascii="方正书宋_GBK" w:hAnsi="方正书宋_GBK" w:cs="方正书宋_GBK" w:eastAsia="方正书宋_GBK"/>
          <w:sz w:val="22"/>
          <w:szCs w:val="22"/>
        </w:rPr>
        <w:t>。乙方须于    {当/前一}     年   {月份}   日前支付当年承包费。</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（或：第一次支付：乙方于</w:t>
      </w:r>
      <w:r>
        <w:rPr>
          <w:rFonts w:ascii="方正书宋_GBK" w:hAnsi="方正书宋_GBK" w:cs="方正书宋_GBK" w:eastAsia="方正书宋_GBK"/>
          <w:sz w:val="22"/>
          <w:szCs w:val="22"/>
          <w:u w:val="single"/>
        </w:rPr>
        <w:t>{年份}年{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__________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{付款金额}</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{金额}。</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货币计费一次性付款方式。承包费按</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亩</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年计算，共计</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元。乙方须于</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日前支付全部承包费。</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其他支付方式：</w:t>
      </w:r>
      <w:r>
        <w:rPr>
          <w:rFonts w:eastAsia="方正书宋_GBK" w:cs="方正书宋_GBK" w:ascii="方正书宋_GBK" w:hAnsi="方正书宋_GBK"/>
          <w:sz w:val="22"/>
          <w:szCs w:val="22"/>
        </w:rPr>
        <w:t>{其他支付方式}。</w:t>
      </w:r>
      <w:r>
        <w:rPr>
          <w:rFonts w:ascii="方正书宋_GBK" w:hAnsi="方正书宋_GBK" w:cs="方正书宋_GBK" w:eastAsia="方正书宋_GBK"/>
          <w:sz w:val="22"/>
          <w:szCs w:val="22"/>
        </w:rPr>
      </w:r>
    </w:p>
    <w:p>
      <w:pPr>
        <w:pStyle w:val="Normal"/>
        <w:keepNext w:val="false"/>
        <w:keepLines w:val="false"/>
        <w:pageBreakBefore w:val="false"/>
        <w:numPr>
          <w:ilvl w:val="0"/>
          <w:numId w:val="5"/>
        </w:numPr>
        <w:kinsoku w:val="true"/>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承包费用变动：</w:t>
      </w:r>
      <w:r>
        <w:rPr>
          <w:rFonts w:eastAsia="方正书宋_GBK" w:cs="方正书宋_GBK" w:ascii="方正书宋_GBK" w:hAnsi="方正书宋_GBK"/>
          <w:sz w:val="22"/>
          <w:szCs w:val="22"/>
        </w:rPr>
        <w:t>{变动内容}。</w:t>
      </w:r>
      <w:r>
        <w:rPr>
          <w:rFonts w:ascii="方正书宋_GBK" w:hAnsi="方正书宋_GBK" w:cs="方正书宋_GBK" w:eastAsia="方正书宋_GBK"/>
          <w:sz w:val="22"/>
          <w:szCs w:val="22"/>
        </w:rPr>
      </w:r>
    </w:p>
    <w:p>
      <w:pPr>
        <w:pStyle w:val="Normal"/>
        <w:keepNext w:val="false"/>
        <w:keepLines w:val="false"/>
        <w:pageBreakBefore w:val="false"/>
        <w:numPr>
          <w:ilvl w:val="0"/>
          <w:numId w:val="0"/>
        </w:numPr>
        <w:kinsoku w:val="true"/>
        <w:overflowPunct w:val="true"/>
        <w:autoSpaceDE w:val="true"/>
        <w:bidi w:val="0"/>
        <w:snapToGrid w:val="false"/>
        <w:spacing w:lineRule="exact" w:line="420"/>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特别提醒</w:t>
      </w:r>
      <w:r>
        <w:rPr>
          <w:rFonts w:ascii="方正书宋_GBK" w:hAnsi="方正书宋_GBK" w:cs="方正书宋_GBK" w:eastAsia="方正书宋_GBK"/>
          <w:b/>
          <w:sz w:val="22"/>
          <w:szCs w:val="22"/>
        </w:rPr>
        <w:t>：每届村集体经济组织理事会或代行职能的村民委员会收取的承包费用，不得超过本届村集体经济组织理事会或代行职能的村民委员会任期的剩余期限。</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甲方的权利和义务</w:t>
      </w:r>
    </w:p>
    <w:p>
      <w:pPr>
        <w:pStyle w:val="Normal"/>
        <w:keepNext w:val="false"/>
        <w:keepLines w:val="false"/>
        <w:pageBreakBefore w:val="false"/>
        <w:numPr>
          <w:ilvl w:val="0"/>
          <w:numId w:val="18"/>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甲方的权利</w:t>
      </w:r>
    </w:p>
    <w:p>
      <w:pPr>
        <w:pStyle w:val="Normal"/>
        <w:keepNext w:val="false"/>
        <w:keepLines w:val="false"/>
        <w:pageBreakBefore w:val="false"/>
        <w:numPr>
          <w:ilvl w:val="0"/>
          <w:numId w:val="19"/>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有权监督乙方按合同约定依法利用和保护该四荒地</w:t>
      </w:r>
      <w:r>
        <w:rPr>
          <w:rFonts w:ascii="方正书宋_GBK" w:hAnsi="方正书宋_GBK" w:cs="方正书宋_GBK" w:eastAsia="方正书宋_GBK"/>
          <w:bCs/>
          <w:sz w:val="22"/>
          <w:szCs w:val="22"/>
        </w:rPr>
        <w:t>，制止乙方的损害行为</w:t>
      </w:r>
      <w:r>
        <w:rPr>
          <w:rFonts w:ascii="方正书宋_GBK" w:hAnsi="方正书宋_GBK" w:cs="方正书宋_GBK" w:eastAsia="方正书宋_GBK"/>
          <w:sz w:val="22"/>
          <w:szCs w:val="22"/>
        </w:rPr>
        <w:t>；</w:t>
      </w:r>
    </w:p>
    <w:p>
      <w:pPr>
        <w:pStyle w:val="Normal"/>
        <w:keepNext w:val="false"/>
        <w:keepLines w:val="false"/>
        <w:pageBreakBefore w:val="false"/>
        <w:numPr>
          <w:ilvl w:val="0"/>
          <w:numId w:val="1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有权在本合同到期后收回该四荒地；</w:t>
      </w:r>
    </w:p>
    <w:p>
      <w:pPr>
        <w:pStyle w:val="Normal"/>
        <w:keepNext w:val="false"/>
        <w:keepLines w:val="false"/>
        <w:pageBreakBefore w:val="false"/>
        <w:numPr>
          <w:ilvl w:val="0"/>
          <w:numId w:val="2"/>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乙方无正当理由未支付或者延迟支付承包费的，甲方可以要求乙方在合理期限内支付。经催告后，在合理期限内乙方仍未支付的，甲方可以解除合同。</w:t>
      </w:r>
    </w:p>
    <w:p>
      <w:pPr>
        <w:pStyle w:val="Normal"/>
        <w:keepNext w:val="false"/>
        <w:keepLines w:val="false"/>
        <w:pageBreakBefore w:val="false"/>
        <w:numPr>
          <w:ilvl w:val="0"/>
          <w:numId w:val="2"/>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该发包土地被征收、征用、占用的，有权获得</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补偿。</w:t>
      </w:r>
    </w:p>
    <w:p>
      <w:pPr>
        <w:pStyle w:val="Normal"/>
        <w:keepNext w:val="false"/>
        <w:keepLines w:val="false"/>
        <w:pageBreakBefore w:val="false"/>
        <w:numPr>
          <w:ilvl w:val="0"/>
          <w:numId w:val="12"/>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甲方的义务</w:t>
      </w:r>
    </w:p>
    <w:p>
      <w:pPr>
        <w:pStyle w:val="Normal"/>
        <w:keepNext w:val="false"/>
        <w:keepLines w:val="false"/>
        <w:pageBreakBefore w:val="false"/>
        <w:numPr>
          <w:ilvl w:val="0"/>
          <w:numId w:val="20"/>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按时交付约定发包的四荒地；</w:t>
      </w:r>
    </w:p>
    <w:p>
      <w:pPr>
        <w:pStyle w:val="Normal"/>
        <w:keepNext w:val="false"/>
        <w:keepLines w:val="false"/>
        <w:pageBreakBefore w:val="false"/>
        <w:numPr>
          <w:ilvl w:val="0"/>
          <w:numId w:val="7"/>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应确认该发包四荒地权属合法、清晰，无任何与该四荒地有关的权属纠纷和经济纠纷；</w:t>
      </w:r>
    </w:p>
    <w:p>
      <w:pPr>
        <w:pStyle w:val="Normal"/>
        <w:keepNext w:val="false"/>
        <w:keepLines w:val="false"/>
        <w:pageBreakBefore w:val="false"/>
        <w:numPr>
          <w:ilvl w:val="0"/>
          <w:numId w:val="7"/>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协助乙方处理与其他承包户发生的用路、用水、用电等纠纷；</w:t>
      </w:r>
    </w:p>
    <w:p>
      <w:pPr>
        <w:pStyle w:val="Normal"/>
        <w:keepNext w:val="false"/>
        <w:keepLines w:val="false"/>
        <w:pageBreakBefore w:val="false"/>
        <w:numPr>
          <w:ilvl w:val="0"/>
          <w:numId w:val="7"/>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尊重</w:t>
      </w:r>
      <w:r>
        <w:rPr>
          <w:rFonts w:ascii="方正书宋_GBK" w:hAnsi="方正书宋_GBK" w:cs="方正书宋_GBK" w:eastAsia="方正书宋_GBK"/>
          <w:bCs/>
          <w:sz w:val="22"/>
          <w:szCs w:val="22"/>
        </w:rPr>
        <w:t>乙</w:t>
      </w:r>
      <w:r>
        <w:rPr>
          <w:rFonts w:ascii="方正书宋_GBK" w:hAnsi="方正书宋_GBK" w:cs="方正书宋_GBK" w:eastAsia="方正书宋_GBK"/>
          <w:sz w:val="22"/>
          <w:szCs w:val="22"/>
        </w:rPr>
        <w:t>方的生产经营自主权，不得干涉</w:t>
      </w:r>
      <w:r>
        <w:rPr>
          <w:rFonts w:ascii="方正书宋_GBK" w:hAnsi="方正书宋_GBK" w:cs="方正书宋_GBK" w:eastAsia="方正书宋_GBK"/>
          <w:bCs/>
          <w:sz w:val="22"/>
          <w:szCs w:val="22"/>
        </w:rPr>
        <w:t>乙</w:t>
      </w:r>
      <w:r>
        <w:rPr>
          <w:rFonts w:ascii="方正书宋_GBK" w:hAnsi="方正书宋_GBK" w:cs="方正书宋_GBK" w:eastAsia="方正书宋_GBK"/>
          <w:sz w:val="22"/>
          <w:szCs w:val="22"/>
        </w:rPr>
        <w:t>方依法进行正常的生产经营活动。</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乙方的权利和义务</w:t>
      </w:r>
    </w:p>
    <w:p>
      <w:pPr>
        <w:pStyle w:val="Normal"/>
        <w:keepNext w:val="false"/>
        <w:keepLines w:val="false"/>
        <w:pageBreakBefore w:val="false"/>
        <w:numPr>
          <w:ilvl w:val="0"/>
          <w:numId w:val="21"/>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乙方的权利</w:t>
      </w:r>
    </w:p>
    <w:p>
      <w:pPr>
        <w:pStyle w:val="Normal"/>
        <w:keepNext w:val="false"/>
        <w:keepLines w:val="false"/>
        <w:pageBreakBefore w:val="false"/>
        <w:numPr>
          <w:ilvl w:val="0"/>
          <w:numId w:val="22"/>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依法享有四荒地使用、收益的权利，有权自主组织生产经营和处置产品；</w:t>
      </w:r>
    </w:p>
    <w:p>
      <w:pPr>
        <w:pStyle w:val="Normal"/>
        <w:keepNext w:val="false"/>
        <w:keepLines w:val="false"/>
        <w:pageBreakBefore w:val="false"/>
        <w:numPr>
          <w:ilvl w:val="0"/>
          <w:numId w:val="15"/>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有权利用该承包四荒地上已有的开展农业生产所必需的水系、道路、构筑物等设施；</w:t>
      </w:r>
    </w:p>
    <w:p>
      <w:pPr>
        <w:pStyle w:val="Normal"/>
        <w:keepNext w:val="false"/>
        <w:keepLines w:val="false"/>
        <w:pageBreakBefore w:val="false"/>
        <w:numPr>
          <w:ilvl w:val="0"/>
          <w:numId w:val="4"/>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合同到期后，有权在同等条件下优先续包；</w:t>
      </w:r>
    </w:p>
    <w:p>
      <w:pPr>
        <w:pStyle w:val="Normal"/>
        <w:keepNext w:val="false"/>
        <w:keepLines w:val="false"/>
        <w:pageBreakBefore w:val="false"/>
        <w:numPr>
          <w:ilvl w:val="0"/>
          <w:numId w:val="4"/>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承包期间四荒地及周边土地被依法征收、征用、占用的，乙方应服从，但有权获得</w:t>
      </w:r>
      <w:r>
        <w:rPr>
          <w:rFonts w:eastAsia="方正书宋_GBK" w:cs="方正书宋_GBK" w:ascii="方正书宋_GBK" w:hAnsi="方正书宋_GBK"/>
          <w:sz w:val="22"/>
          <w:szCs w:val="22"/>
        </w:rPr>
        <w:t>_________________</w:t>
      </w:r>
      <w:r>
        <w:rPr>
          <w:rFonts w:ascii="方正书宋_GBK" w:hAnsi="方正书宋_GBK" w:cs="方正书宋_GBK" w:eastAsia="方正书宋_GBK"/>
          <w:sz w:val="22"/>
          <w:szCs w:val="22"/>
        </w:rPr>
        <w:t>补偿。</w:t>
      </w:r>
    </w:p>
    <w:p>
      <w:pPr>
        <w:pStyle w:val="Normal"/>
        <w:keepNext w:val="false"/>
        <w:keepLines w:val="false"/>
        <w:pageBreakBefore w:val="false"/>
        <w:numPr>
          <w:ilvl w:val="0"/>
          <w:numId w:val="14"/>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乙方的义务</w:t>
      </w:r>
    </w:p>
    <w:p>
      <w:pPr>
        <w:pStyle w:val="Normal"/>
        <w:keepNext w:val="false"/>
        <w:keepLines w:val="false"/>
        <w:pageBreakBefore w:val="false"/>
        <w:numPr>
          <w:ilvl w:val="0"/>
          <w:numId w:val="2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按合同约定及时接收该承包四荒地并向甲方足额支付承包费；</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承包期间，未经登记不得进行抵押及再流转；</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本合同到期，应提前一个月告知甲方是否续包。不续包的，应于合同到期日交回该流转土地；</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配合做好四荒地承包合同的审查备案工作；</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负责地上设施的维护和维修，合同到期后完整交付；</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为提高土地生产能力而进行设施改建，应征得甲方同意，需报有关部门批准的，按照相关规定办理；</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妥善管理该承包四荒地上未列入合同的水系、道路、构筑物等设施，如需使用或变动，须征得甲方和发包方同意；</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在法律法规政策和合同约定允许范围内保护和合理利用该承包四荒地，不得破坏农业综合生产能力和农业生态环境，不得撂荒土地、不得擅自改变土地用途、不得给土地造成永久性损害。</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交付时和合同到期后地上附着物及相关设施的处理</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签订本合同并交付该集体资源性资产时，地上附着物及相关设施有</w:t>
      </w:r>
      <w:r>
        <w:rPr>
          <w:rFonts w:eastAsia="方正书宋_GBK" w:cs="方正书宋_GBK" w:ascii="方正书宋_GBK" w:hAnsi="方正书宋_GBK"/>
          <w:sz w:val="22"/>
          <w:szCs w:val="22"/>
        </w:rPr>
        <w:t>：{地上附着物及相关设施列表}。</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合同到期时，由国家或地方财政直接补助形成的财产按国家和本市有关规定处理。</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 乙方经营期间利用除财政补助外的资金构建的地上附着物及相关设备设施按下列方式处理</w:t>
      </w:r>
      <w:r>
        <w:rPr>
          <w:rFonts w:eastAsia="方正书宋_GBK" w:cs="方正书宋_GBK" w:ascii="方正书宋_GBK" w:hAnsi="方正书宋_GBK"/>
          <w:sz w:val="22"/>
          <w:szCs w:val="22"/>
        </w:rPr>
        <w:t>：{处理方式}。</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 合同到期该集体资源性资产恢复原状等事项的处理</w:t>
      </w:r>
      <w:r>
        <w:rPr>
          <w:rFonts w:eastAsia="方正书宋_GBK" w:cs="方正书宋_GBK" w:ascii="方正书宋_GBK" w:hAnsi="方正书宋_GBK"/>
          <w:sz w:val="22"/>
          <w:szCs w:val="22"/>
        </w:rPr>
        <w:t>：{处理事项}。</w:t>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合同变更、解除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经协商一致，甲乙双方可对本合同进行变更、解除。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当事人一方中途变更或解除合同的，应提前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{通知天数} 日书面通知对方。</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合同有效期内，因不可抗力导致合同无法继续履行的，当事人可以解除合同；双方应按合同解除日期，结清合同履行期间相关费用。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当事人一方违约导致合同无法履行的，另一方可以解除合同。</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违约责任</w:t>
      </w:r>
    </w:p>
    <w:p>
      <w:pPr>
        <w:pStyle w:val="Normal"/>
        <w:keepNext w:val="false"/>
        <w:keepLines w:val="false"/>
        <w:pageBreakBefore w:val="false"/>
        <w:widowControl/>
        <w:numPr>
          <w:ilvl w:val="0"/>
          <w:numId w:val="24"/>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因变更或解除本合同使一方遭受损失的，除依法可免除责任的情形，应向守约方支付违约金＿＿＿＿＿元。如果违约金不足以弥补守约方经济损失，违约方应据实赔偿。</w:t>
      </w:r>
    </w:p>
    <w:p>
      <w:pPr>
        <w:pStyle w:val="Normal"/>
        <w:keepNext w:val="false"/>
        <w:keepLines w:val="false"/>
        <w:pageBreakBefore w:val="false"/>
        <w:widowControl/>
        <w:numPr>
          <w:ilvl w:val="0"/>
          <w:numId w:val="16"/>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甲方逾期交付本合同约定的集体资源性资产，每延迟一天，按承包费用的</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承担违约金。</w:t>
      </w:r>
    </w:p>
    <w:p>
      <w:pPr>
        <w:pStyle w:val="Normal"/>
        <w:keepNext w:val="false"/>
        <w:keepLines w:val="false"/>
        <w:pageBreakBefore w:val="false"/>
        <w:widowControl/>
        <w:numPr>
          <w:ilvl w:val="0"/>
          <w:numId w:val="8"/>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乙方逾期支付承包费，每延迟一天，按应支付费用的</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承担违约金。</w:t>
      </w:r>
    </w:p>
    <w:p>
      <w:pPr>
        <w:pStyle w:val="Normal"/>
        <w:keepNext w:val="false"/>
        <w:keepLines w:val="false"/>
        <w:pageBreakBefore w:val="false"/>
        <w:widowControl/>
        <w:numPr>
          <w:ilvl w:val="0"/>
          <w:numId w:val="8"/>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甲方非法干预乙方生产经营活动，给乙方造成损失的，应予以赔偿。</w:t>
      </w:r>
    </w:p>
    <w:p>
      <w:pPr>
        <w:pStyle w:val="Normal"/>
        <w:keepNext w:val="false"/>
        <w:keepLines w:val="false"/>
        <w:pageBreakBefore w:val="false"/>
        <w:widowControl/>
        <w:numPr>
          <w:ilvl w:val="0"/>
          <w:numId w:val="8"/>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乙方私自在承包区域内取土或未经甲方书面同意私自改变土地用途和结构、破坏水利等基本设施或给土地造成永久性损害的，甲方有权解除合同，乙方应当赔偿对甲方造成的损失。</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纠纷解决方式</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甲乙双方发生纠纷，可以协商解决，也可以请求镇（乡、街）人民政府等调解。当事人不愿协商、调解或者协商、调解不成的，可以向农村土地承包仲裁机构申请仲裁，也可以直接向人民法院起诉。</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特别约定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承包合同生效后，不因承办人或者负责人的变动而变更或者解除，也不因集体经济组织的分立或者合并而变更或者解除。</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其他约定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以下是修改后的文本：</w:t>
      </w:r>
      <w:r>
        <w:rPr>
          <w:rFonts w:ascii="方正书宋_GBK" w:hAnsi="方正书宋_GBK" w:cs="方正书宋_GBK" w:eastAsia="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本合同一式四份，双</w:t>
      </w:r>
      <w:r>
        <w:rPr>
          <w:rFonts w:ascii="方正书宋_GBK" w:hAnsi="方正书宋_GBK" w:cs="方正书宋_GBK" w:eastAsia="方正书宋_GBK"/>
          <w:sz w:val="22"/>
          <w:szCs w:val="22"/>
        </w:rPr>
        <w:t>方盖章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签字有效。</w:t>
      </w:r>
      <w:r>
        <w:rPr>
          <w:rFonts w:ascii="方正书宋_GBK" w:hAnsi="方正书宋_GBK" w:cs="方正书宋_GBK" w:eastAsia="方正书宋_GBK"/>
          <w:kern w:val="0"/>
          <w:sz w:val="22"/>
          <w:szCs w:val="22"/>
        </w:rPr>
        <w:t>甲乙双方各执一份，镇（乡、街）农村集体资产管理部门备案一份，天津市农村产权流转交易市场留存一份。</w:t>
      </w:r>
      <w:r>
        <w:rPr>
          <w:rFonts w:ascii="方正书宋_GBK" w:hAnsi="方正书宋_GBK" w:cs="方正书宋_GBK" w:eastAsia="方正书宋_GBK"/>
          <w:sz w:val="22"/>
          <w:szCs w:val="22"/>
        </w:rPr>
        <w:t>经协商，决定</w:t>
      </w:r>
      <w:r>
        <w:rPr>
          <w:rFonts w:eastAsia="方正书宋_GBK" w:cs="方正书宋_GBK" w:ascii="方正书宋_GBK" w:hAnsi="方正书宋_GBK"/>
          <w:b/>
          <w:bCs/>
          <w:sz w:val="22"/>
          <w:szCs w:val="22"/>
        </w:rPr>
        <w:t>________</w:t>
      </w:r>
      <w:r>
        <w:rPr>
          <w:rFonts w:ascii="方正书宋_GBK" w:hAnsi="方正书宋_GBK" w:cs="方正书宋_GBK" w:eastAsia="方正书宋_GBK"/>
          <w:kern w:val="0"/>
          <w:sz w:val="22"/>
          <w:szCs w:val="22"/>
        </w:rPr>
        <w:t>（提交</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不提交）天津市农村产权流转交易市场鉴证。</w:t>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eastAsia="zh-TW" w:bidi="zh-TW"/>
        </w:rPr>
      </w:pPr>
      <w:r>
        <w:rPr>
          <w:rFonts w:eastAsia="方正书宋_GBK" w:cs="方正书宋_GBK" w:ascii="方正书宋_GBK" w:hAnsi="方正书宋_GBK"/>
          <w:b/>
          <w:color w:val="3F3C4A"/>
          <w:kern w:val="0"/>
          <w:sz w:val="22"/>
          <w:szCs w:val="22"/>
          <w:lang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442"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甲方（盖章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{签署方} ______</w:t>
      </w:r>
      <w:r>
        <w:rPr>
          <w:rFonts w:eastAsia="方正书宋_GBK" w:cs="方正书宋_GBK" w:ascii="方正书宋_GBK" w:hAnsi="方正书宋_GBK"/>
          <w:color w:val="000000"/>
          <w:kern w:val="0"/>
          <w:sz w:val="22"/>
          <w:szCs w:val="22"/>
          <w:u w:val="single"/>
          <w:lang w:val="zh-TW" w:eastAsia="zh-TW" w:bidi="zh-TW"/>
        </w:rPr>
        <w:t>_年{月}月{</w:t>
      </w:r>
      <w:r>
        <w:rPr>
          <w:rFonts w:ascii="方正书宋_GBK" w:hAnsi="方正书宋_GBK" w:cs="方正书宋_GBK" w:eastAsia="方正书宋_GBK"/>
          <w:color w:val="000000"/>
          <w:kern w:val="0"/>
          <w:sz w:val="22"/>
          <w:szCs w:val="22"/>
          <w:u w:val="single"/>
          <w:lang w:val="zh-TW" w:eastAsia="zh-TW" w:bidi="zh-TW"/>
        </w:rPr>
        <w:t>日</w:t>
      </w:r>
      <w:r>
        <w:rPr>
          <w:rFonts w:eastAsia="方正书宋_GBK" w:cs="方正书宋_GBK" w:ascii="方正书宋_GBK" w:hAnsi="方正书宋_GBK"/>
          <w:bCs/>
          <w:color w:val="000000"/>
          <w:kern w:val="0"/>
          <w:sz w:val="22"/>
          <w:szCs w:val="22"/>
          <w:u w:val="single"/>
          <w:lang w:val="zh-TW" w:eastAsia="zh-TW" w:bidi="zh-TW"/>
        </w:rPr>
        <w:t>}日</w:t>
      </w:r>
      <w:r>
        <w:rPr>
          <w:rFonts w:ascii="方正书宋_GBK" w:hAnsi="方正书宋_GBK" w:cs="方正书宋_GBK" w:eastAsia="方正书宋_GBK"/>
          <w:bCs/>
          <w:color w:val="000000"/>
          <w:kern w:val="0"/>
          <w:sz w:val="22"/>
          <w:szCs w:val="22"/>
          <w:u w:val="single"/>
          <w:lang w:val="zh-TW" w:eastAsia="zh-TW" w:bidi="zh-TW"/>
        </w:rPr>
      </w:r>
      <w:r>
        <w:rPr>
          <w:rFonts w:eastAsia="方正书宋_GBK" w:cs="方正书宋_GBK" w:ascii="方正书宋_GBK" w:hAnsi="方正书宋_GBK"/>
          <w:bCs/>
          <w:color w:val="000000"/>
          <w:kern w:val="0"/>
          <w:sz w:val="22"/>
          <w:szCs w:val="22"/>
          <w:u w:val="single"/>
          <w:lang w:val="zh-TW" w:eastAsia="zh-TW" w:bidi="zh-TW"/>
        </w:rPr>
      </w:r>
      <w:r>
        <w:rPr>
          <w:rFonts w:ascii="方正书宋_GBK" w:hAnsi="方正书宋_GBK" w:cs="方正书宋_GBK" w:eastAsia="方正书宋_GBK"/>
          <w:bCs/>
          <w:color w:val="000000"/>
          <w:kern w:val="0"/>
          <w:sz w:val="22"/>
          <w:szCs w:val="22"/>
          <w:u w:val="single"/>
          <w:lang w:val="zh-TW" w:eastAsia="zh-TW" w:bidi="zh-TW"/>
        </w:rPr>
      </w:r>
    </w:p>
    <w:tbl>
      <w:tblPr>
        <w:tblW w:w="8824" w:type="dxa"/>
        <w:jc w:val="center"/>
        <w:tblInd w:w="0" w:type="dxa"/>
        <w:tblLayout w:type="fixed"/>
        <w:tblCellMar>
          <w:top w:w="0" w:type="dxa"/>
          <w:start w:w="108" w:type="dxa"/>
          <w:bottom w:w="0" w:type="dxa"/>
          <w:end w:w="108" w:type="dxa"/>
        </w:tblCellMar>
      </w:tblPr>
      <w:tblGrid>
        <w:gridCol w:w="1735"/>
        <w:gridCol w:w="3276"/>
        <w:gridCol w:w="1296"/>
        <w:gridCol w:w="2517"/>
      </w:tblGrid>
      <w:tr>
        <w:trPr>
          <w:trHeight w:val="699"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bidi="zh-TW"/>
              </w:rPr>
              <w:t>统一社会</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bidi="zh-TW"/>
              </w:rPr>
              <w:t>信用代码</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442"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乙方（盖章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{签名人} ______</w:t>
      </w:r>
      <w:r>
        <w:rPr>
          <w:rFonts w:eastAsia="方正书宋_GBK" w:cs="方正书宋_GBK" w:ascii="方正书宋_GBK" w:hAnsi="方正书宋_GBK"/>
          <w:color w:val="3F3C4A"/>
          <w:kern w:val="0"/>
          <w:sz w:val="22"/>
          <w:szCs w:val="22"/>
          <w:lang w:val="zh-TW" w:eastAsia="zh-TW" w:bidi="zh-TW"/>
        </w:rPr>
        <w:t>_年{月}月{</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t>}日</w:t>
      </w:r>
      <w:r>
        <w:rPr>
          <w:rFonts w:ascii="方正书宋_GBK" w:hAnsi="方正书宋_GBK" w:cs="方正书宋_GBK" w:eastAsia="方正书宋_GBK"/>
          <w:color w:val="3F3C4A"/>
          <w:kern w:val="0"/>
          <w:sz w:val="22"/>
          <w:szCs w:val="22"/>
          <w:lang w:val="zh-TW" w:eastAsia="zh-TW" w:bidi="zh-TW"/>
        </w:rPr>
      </w:r>
      <w:r>
        <w:rPr>
          <w:rFonts w:eastAsia="方正书宋_GBK" w:cs="方正书宋_GBK" w:ascii="方正书宋_GBK" w:hAnsi="方正书宋_GBK"/>
          <w:color w:val="3F3C4A"/>
          <w:kern w:val="0"/>
          <w:sz w:val="22"/>
          <w:szCs w:val="22"/>
          <w:lang w:val="zh-TW" w:eastAsia="zh-TW" w:bidi="zh-TW"/>
        </w:rPr>
      </w:r>
      <w:r>
        <w:rPr>
          <w:rFonts w:ascii="方正书宋_GBK" w:hAnsi="方正书宋_GBK" w:cs="方正书宋_GBK" w:eastAsia="方正书宋_GBK"/>
          <w:color w:val="3F3C4A"/>
          <w:kern w:val="0"/>
          <w:sz w:val="22"/>
          <w:szCs w:val="22"/>
          <w:lang w:val="zh-TW" w:eastAsia="zh-TW" w:bidi="zh-TW"/>
        </w:rPr>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1123"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自然人、</w:t>
            </w: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身份证号（统一社会信用代码）</w:t>
            </w:r>
            <w:r>
              <w:rPr>
                <w:rFonts w:ascii="方正书宋_GBK" w:hAnsi="方正书宋_GBK" w:cs="方正书宋_GBK" w:eastAsia="方正书宋_GBK"/>
                <w:color w:val="000000"/>
                <w:kern w:val="0"/>
                <w:sz w:val="18"/>
                <w:szCs w:val="18"/>
                <w:lang w:val="zh-TW" w:eastAsia="zh-TW" w:bidi="zh-TW"/>
              </w:rPr>
              <w:t>责人姓名</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31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{备案人姓名}</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{年份}年{月</w:t>
      </w:r>
      <w:r>
        <w:rPr>
          <w:rFonts w:ascii="方正书宋_GBK" w:hAnsi="方正书宋_GBK" w:cs="方正书宋_GBK" w:eastAsia="方正书宋_GBK"/>
          <w:color w:val="3F3C4A"/>
          <w:kern w:val="0"/>
          <w:sz w:val="22"/>
          <w:szCs w:val="22"/>
          <w:lang w:val="zh-TW" w:eastAsia="zh-TW" w:bidi="zh-TW"/>
        </w:rPr>
        <w:t>份</w:t>
      </w:r>
      <w:r>
        <w:rPr>
          <w:rFonts w:eastAsia="方正书宋_GBK" w:cs="方正书宋_GBK" w:ascii="方正书宋_GBK" w:hAnsi="方正书宋_GBK"/>
          <w:color w:val="3F3C4A"/>
          <w:kern w:val="0"/>
          <w:sz w:val="22"/>
          <w:szCs w:val="22"/>
          <w:lang w:val="zh-TW" w:eastAsia="zh-TW" w:bidi="zh-TW"/>
        </w:rPr>
        <w:t>}月{</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t>期}日</w:t>
      </w:r>
      <w:r>
        <w:rPr>
          <w:rFonts w:ascii="方正书宋_GBK" w:hAnsi="方正书宋_GBK" w:cs="方正书宋_GBK" w:eastAsia="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{签字/签章}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{地址}</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{联系电话}</w:t>
      </w:r>
    </w:p>
    <w:p>
      <w:pPr>
        <w:sectPr>
          <w:headerReference w:type="default" r:id="rId2"/>
          <w:footerReference w:type="default" r:id="rId3"/>
          <w:type w:val="nextPage"/>
          <w:pgSz w:w="11906" w:h="16838"/>
          <w:pgMar w:left="1587" w:right="1474" w:gutter="0" w:header="0" w:top="2098" w:footer="1417" w:bottom="1984"/>
          <w:pgNumType w:fmt="decimal"/>
          <w:formProt w:val="false"/>
          <w:textDirection w:val="lrTb"/>
          <w:docGrid w:type="lines" w:linePitch="386" w:charSpace="0"/>
        </w:sect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{年份}年{月</w:t>
      </w:r>
      <w:r>
        <w:rPr>
          <w:rFonts w:ascii="方正书宋_GBK" w:hAnsi="方正书宋_GBK" w:cs="方正书宋_GBK" w:eastAsia="方正书宋_GBK"/>
          <w:color w:val="3F3C4A"/>
          <w:kern w:val="0"/>
          <w:sz w:val="22"/>
          <w:szCs w:val="22"/>
          <w:lang w:val="zh-TW" w:eastAsia="zh-TW" w:bidi="zh-TW"/>
        </w:rPr>
        <w:t>份</w:t>
      </w:r>
      <w:r>
        <w:rPr>
          <w:rFonts w:eastAsia="方正书宋_GBK" w:cs="方正书宋_GBK" w:ascii="方正书宋_GBK" w:hAnsi="方正书宋_GBK"/>
          <w:color w:val="3F3C4A"/>
          <w:kern w:val="0"/>
          <w:sz w:val="22"/>
          <w:szCs w:val="22"/>
          <w:lang w:val="zh-TW" w:eastAsia="zh-TW" w:bidi="zh-TW"/>
        </w:rPr>
        <w:t>}月{</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t>期}日</w:t>
      </w:r>
      <w:r>
        <w:rPr>
          <w:rFonts w:ascii="方正书宋_GBK" w:hAnsi="方正书宋_GBK" w:cs="方正书宋_GBK" w:eastAsia="方正书宋_GBK"/>
          <w:color w:val="3F3C4A"/>
          <w:kern w:val="0"/>
          <w:sz w:val="22"/>
          <w:szCs w:val="22"/>
          <w:lang w:val="zh-TW" w:eastAsia="zh-TW" w:bidi="zh-TW"/>
        </w:rPr>
      </w:r>
    </w:p>
    <w:p>
      <w:pPr>
        <w:pStyle w:val="Normal"/>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合同附件：</w:t>
      </w:r>
    </w:p>
    <w:p>
      <w:pPr>
        <w:pStyle w:val="Normal"/>
        <w:spacing w:lineRule="exact" w:line="5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20"/>
        <w:jc w:val="center"/>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资源性资产基本情况表</w:t>
      </w:r>
    </w:p>
    <w:p>
      <w:pPr>
        <w:pStyle w:val="Normal"/>
        <w:spacing w:lineRule="exact" w:line="520"/>
        <w:jc w:val="center"/>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bl>
      <w:tblPr>
        <w:tblW w:w="13568" w:type="dxa"/>
        <w:jc w:val="center"/>
        <w:tblInd w:w="0" w:type="dxa"/>
        <w:tblLayout w:type="fixed"/>
        <w:tblCellMar>
          <w:top w:w="0" w:type="dxa"/>
          <w:start w:w="108" w:type="dxa"/>
          <w:bottom w:w="0" w:type="dxa"/>
          <w:end w:w="108" w:type="dxa"/>
        </w:tblCellMar>
      </w:tblPr>
      <w:tblGrid>
        <w:gridCol w:w="873"/>
        <w:gridCol w:w="3519"/>
        <w:gridCol w:w="1516"/>
        <w:gridCol w:w="1915"/>
        <w:gridCol w:w="1915"/>
        <w:gridCol w:w="1915"/>
        <w:gridCol w:w="1915"/>
      </w:tblGrid>
      <w:tr>
        <w:trPr>
          <w:trHeight w:val="460" w:hRule="atLeast"/>
        </w:trPr>
        <w:tc>
          <w:tcPr>
            <w:tcW w:w="8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3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资源名称</w:t>
            </w:r>
          </w:p>
        </w:tc>
        <w:tc>
          <w:tcPr>
            <w:tcW w:w="1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面积</w:t>
            </w:r>
          </w:p>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（亩）</w:t>
            </w:r>
          </w:p>
        </w:tc>
        <w:tc>
          <w:tcPr>
            <w:tcW w:w="766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四至界限</w:t>
            </w:r>
          </w:p>
        </w:tc>
      </w:tr>
      <w:tr>
        <w:trPr>
          <w:trHeight w:val="447" w:hRule="atLeast"/>
        </w:trPr>
        <w:tc>
          <w:tcPr>
            <w:tcW w:w="8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东</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南</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西</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北</w:t>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1356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p>
        </w:tc>
        <w:tc>
          <w:tcPr>
            <w:tcW w:w="12695"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（大写）            亩（小写）          亩</w:t>
            </w:r>
          </w:p>
        </w:tc>
      </w:tr>
    </w:tbl>
    <w:p>
      <w:pPr>
        <w:sectPr>
          <w:headerReference w:type="default" r:id="rId4"/>
          <w:headerReference w:type="first" r:id="rId5"/>
          <w:footerReference w:type="default" r:id="rId6"/>
          <w:footerReference w:type="first" r:id="rId7"/>
          <w:type w:val="nextPage"/>
          <w:pgSz w:orient="landscape" w:w="16838" w:h="11906"/>
          <w:pgMar w:left="2098" w:right="1984" w:gutter="0" w:header="0" w:top="1587" w:footer="1417" w:bottom="1474"/>
          <w:pgNumType w:fmt="decimal"/>
          <w:formProt w:val="false"/>
          <w:textDirection w:val="lrTb"/>
          <w:docGrid w:type="lines" w:linePitch="402" w:charSpace="0"/>
        </w:sectPr>
      </w:pP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headerReference w:type="default" r:id="rId8"/>
      <w:headerReference w:type="first" r:id="rId9"/>
      <w:footerReference w:type="default" r:id="rId10"/>
      <w:footerReference w:type="first" r:id="rId11"/>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1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90805" cy="205740"/>
              <wp:effectExtent l="0" t="0" r="0" b="0"/>
              <wp:wrapNone/>
              <wp:docPr id="3" name="Frame3"/>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EnclosedCircle"/>
      <w:suff w:val="nothing"/>
      <w:lvlText w:val="%1　"/>
      <w:lvlJc w:val="start"/>
      <w:pPr>
        <w:tabs>
          <w:tab w:val="num" w:pos="0"/>
        </w:tabs>
        <w:ind w:start="0" w:firstLine="400"/>
      </w:pPr>
    </w:lvl>
  </w:abstractNum>
  <w:abstractNum w:abstractNumId="3">
    <w:lvl w:ilvl="0">
      <w:start w:val="1"/>
      <w:numFmt w:val="decimalEnclosedCircle"/>
      <w:suff w:val="nothing"/>
      <w:lvlText w:val="%1　"/>
      <w:lvlJc w:val="start"/>
      <w:pPr>
        <w:tabs>
          <w:tab w:val="num" w:pos="0"/>
        </w:tabs>
        <w:ind w:start="167" w:firstLine="400"/>
      </w:pPr>
    </w:lvl>
  </w:abstractNum>
  <w:abstractNum w:abstractNumId="4">
    <w:lvl w:ilvl="0">
      <w:start w:val="1"/>
      <w:numFmt w:val="decimalEnclosedCircle"/>
      <w:suff w:val="nothing"/>
      <w:lvlText w:val="%1　"/>
      <w:lvlJc w:val="start"/>
      <w:pPr>
        <w:tabs>
          <w:tab w:val="num" w:pos="0"/>
        </w:tabs>
        <w:ind w:start="0" w:firstLine="400"/>
      </w:pPr>
    </w:lvl>
  </w:abstractNum>
  <w:abstractNum w:abstractNumId="5">
    <w:lvl w:ilvl="0">
      <w:start w:val="1"/>
      <w:numFmt w:val="decimal"/>
      <w:suff w:val="nothing"/>
      <w:lvlText w:val="%1．"/>
      <w:lvlJc w:val="start"/>
      <w:pPr>
        <w:tabs>
          <w:tab w:val="num" w:pos="0"/>
        </w:tabs>
        <w:ind w:start="0" w:firstLine="400"/>
      </w:pPr>
    </w:lvl>
  </w:abstractNum>
  <w:abstractNum w:abstractNumId="6">
    <w:lvl w:ilvl="0">
      <w:start w:val="1"/>
      <w:numFmt w:val="chineseCountingThousand"/>
      <w:suff w:val="space"/>
      <w:lvlText w:val="第%1条"/>
      <w:lvlJc w:val="start"/>
      <w:pPr>
        <w:tabs>
          <w:tab w:val="num" w:pos="0"/>
        </w:tabs>
        <w:ind w:start="0" w:hanging="0"/>
      </w:pPr>
      <w:rPr>
        <w:b/>
      </w:rPr>
    </w:lvl>
  </w:abstractNum>
  <w:abstractNum w:abstractNumId="7">
    <w:lvl w:ilvl="0">
      <w:start w:val="1"/>
      <w:numFmt w:val="decimalEnclosedCircle"/>
      <w:suff w:val="nothing"/>
      <w:lvlText w:val="%1　"/>
      <w:lvlJc w:val="start"/>
      <w:pPr>
        <w:tabs>
          <w:tab w:val="num" w:pos="0"/>
        </w:tabs>
        <w:ind w:start="1444" w:firstLine="400"/>
      </w:pPr>
      <w:rPr>
        <w:lang w:val="en-US"/>
      </w:rPr>
    </w:lvl>
  </w:abstractNum>
  <w:abstractNum w:abstractNumId="8">
    <w:lvl w:ilvl="0">
      <w:start w:val="1"/>
      <w:numFmt w:val="decimal"/>
      <w:suff w:val="nothing"/>
      <w:lvlText w:val="%1．"/>
      <w:lvlJc w:val="start"/>
      <w:pPr>
        <w:tabs>
          <w:tab w:val="num" w:pos="0"/>
        </w:tabs>
        <w:ind w:start="0" w:firstLine="400"/>
      </w:pPr>
    </w:lvl>
  </w:abstractNum>
  <w:abstractNum w:abstractNumId="9">
    <w:lvl w:ilvl="0">
      <w:start w:val="1"/>
      <w:numFmt w:val="decimal"/>
      <w:suff w:val="nothing"/>
      <w:lvlText w:val="%1．"/>
      <w:lvlJc w:val="start"/>
      <w:pPr>
        <w:tabs>
          <w:tab w:val="num" w:pos="0"/>
        </w:tabs>
        <w:ind w:start="0" w:firstLine="400"/>
      </w:pPr>
    </w:lvl>
  </w:abstractNum>
  <w:abstractNum w:abstractNumId="10">
    <w:lvl w:ilvl="0">
      <w:start w:val="1"/>
      <w:numFmt w:val="decimal"/>
      <w:suff w:val="nothing"/>
      <w:lvlText w:val="%1．"/>
      <w:lvlJc w:val="start"/>
      <w:pPr>
        <w:tabs>
          <w:tab w:val="num" w:pos="0"/>
        </w:tabs>
        <w:ind w:start="0" w:firstLine="400"/>
      </w:pPr>
    </w:lvl>
  </w:abstractNum>
  <w:abstractNum w:abstractNumId="11">
    <w:lvl w:ilvl="0">
      <w:start w:val="1"/>
      <w:numFmt w:val="chineseCountingThousand"/>
      <w:suff w:val="space"/>
      <w:lvlText w:val="第%1条"/>
      <w:lvlJc w:val="start"/>
      <w:pPr>
        <w:tabs>
          <w:tab w:val="num" w:pos="0"/>
        </w:tabs>
        <w:ind w:start="0" w:hanging="0"/>
      </w:pPr>
      <w:rPr>
        <w:b/>
      </w:rPr>
    </w:lvl>
  </w:abstractNum>
  <w:abstractNum w:abstractNumId="12">
    <w:lvl w:ilvl="0">
      <w:start w:val="1"/>
      <w:numFmt w:val="decimal"/>
      <w:suff w:val="nothing"/>
      <w:lvlText w:val="%1．"/>
      <w:lvlJc w:val="start"/>
      <w:pPr>
        <w:tabs>
          <w:tab w:val="num" w:pos="0"/>
        </w:tabs>
        <w:ind w:start="0" w:firstLine="400"/>
      </w:pPr>
    </w:lvl>
  </w:abstractNum>
  <w:abstractNum w:abstractNumId="13">
    <w:lvl w:ilvl="0">
      <w:start w:val="1"/>
      <w:numFmt w:val="decimalEnclosedCircle"/>
      <w:suff w:val="nothing"/>
      <w:lvlText w:val="%1　"/>
      <w:lvlJc w:val="start"/>
      <w:pPr>
        <w:tabs>
          <w:tab w:val="num" w:pos="0"/>
        </w:tabs>
        <w:ind w:start="0" w:firstLine="400"/>
      </w:pPr>
    </w:lvl>
  </w:abstractNum>
  <w:abstractNum w:abstractNumId="14">
    <w:lvl w:ilvl="0">
      <w:start w:val="1"/>
      <w:numFmt w:val="decimal"/>
      <w:suff w:val="nothing"/>
      <w:lvlText w:val="%1．"/>
      <w:lvlJc w:val="start"/>
      <w:pPr>
        <w:tabs>
          <w:tab w:val="num" w:pos="0"/>
        </w:tabs>
        <w:ind w:start="0" w:firstLine="400"/>
      </w:pPr>
    </w:lvl>
  </w:abstractNum>
  <w:abstractNum w:abstractNumId="15">
    <w:lvl w:ilvl="0">
      <w:start w:val="1"/>
      <w:numFmt w:val="decimalEnclosedCircle"/>
      <w:suff w:val="nothing"/>
      <w:lvlText w:val="%1　"/>
      <w:lvlJc w:val="start"/>
      <w:pPr>
        <w:tabs>
          <w:tab w:val="num" w:pos="0"/>
        </w:tabs>
        <w:ind w:start="0" w:firstLine="400"/>
      </w:pPr>
    </w:lvl>
  </w:abstractNum>
  <w:abstractNum w:abstractNumId="16">
    <w:lvl w:ilvl="0">
      <w:start w:val="1"/>
      <w:numFmt w:val="decimal"/>
      <w:suff w:val="nothing"/>
      <w:lvlText w:val="%1．"/>
      <w:lvlJc w:val="start"/>
      <w:pPr>
        <w:tabs>
          <w:tab w:val="num" w:pos="0"/>
        </w:tabs>
        <w:ind w:start="0" w:firstLine="4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6"/>
    <w:lvlOverride w:ilvl="0">
      <w:startOverride w:val="1"/>
    </w:lvlOverride>
  </w:num>
  <w:num w:numId="18">
    <w:abstractNumId w:val="9"/>
    <w:lvlOverride w:ilvl="0">
      <w:startOverride w:val="1"/>
    </w:lvlOverride>
  </w:num>
  <w:num w:numId="19">
    <w:abstractNumId w:val="2"/>
    <w:lvlOverride w:ilvl="0">
      <w:startOverride w:val="1"/>
    </w:lvlOverride>
  </w:num>
  <w:num w:numId="20">
    <w:abstractNumId w:val="7"/>
    <w:lvlOverride w:ilvl="0">
      <w:startOverride w:val="1"/>
    </w:lvlOverride>
  </w:num>
  <w:num w:numId="21">
    <w:abstractNumId w:val="10"/>
    <w:lvlOverride w:ilvl="0">
      <w:startOverride w:val="1"/>
    </w:lvlOverride>
  </w:num>
  <w:num w:numId="22">
    <w:abstractNumId w:val="4"/>
    <w:lvlOverride w:ilvl="0">
      <w:startOverride w:val="1"/>
    </w:lvlOverride>
  </w:num>
  <w:num w:numId="23">
    <w:abstractNumId w:val="3"/>
    <w:lvlOverride w:ilvl="0">
      <w:startOverride w:val="1"/>
    </w:lvlOverride>
  </w:num>
  <w:num w:numId="24">
    <w:abstractNumId w:val="8"/>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WW8Num5z0">
    <w:name w:val="WW8Num5z0"/>
    <w:qFormat/>
    <w:rPr>
      <w:b/>
    </w:rPr>
  </w:style>
  <w:style w:type="character" w:styleId="WW8Num6z0">
    <w:name w:val="WW8Num6z0"/>
    <w:qFormat/>
    <w:rPr>
      <w:lang w:val="en-US"/>
    </w:rPr>
  </w:style>
  <w:style w:type="character" w:styleId="Style12">
    <w:name w:val="默认段落字体"/>
    <w:qFormat/>
    <w:rPr/>
  </w:style>
  <w:style w:type="character" w:styleId="Style13">
    <w:name w:val="页脚 字符"/>
    <w:qFormat/>
    <w:rPr>
      <w:kern w:val="2"/>
      <w:sz w:val="18"/>
      <w:szCs w:val="18"/>
    </w:rPr>
  </w:style>
  <w:style w:type="character" w:styleId="2Char">
    <w:name w:val="样式2 Char"/>
    <w:qFormat/>
    <w:rPr>
      <w:rFonts w:ascii="黑体" w:hAnsi="黑体" w:eastAsia="黑体"/>
      <w:sz w:val="24"/>
    </w:rPr>
  </w:style>
  <w:style w:type="character" w:styleId="Style14">
    <w:name w:val="页眉 字符"/>
    <w:qFormat/>
    <w:rPr>
      <w:kern w:val="2"/>
      <w:sz w:val="18"/>
      <w:szCs w:val="18"/>
    </w:rPr>
  </w:style>
  <w:style w:type="character" w:styleId="Hyperlink">
    <w:name w:val="Hyperlink"/>
    <w:rPr>
      <w:color w:val="333333"/>
      <w:u w:val="none"/>
    </w:rPr>
  </w:style>
  <w:style w:type="character" w:styleId="Style15">
    <w:name w:val="批注框文本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Style16">
    <w:name w:val="批注框文本"/>
    <w:basedOn w:val="Normal"/>
    <w:qFormat/>
    <w:pPr/>
    <w:rPr>
      <w:rFonts w:ascii="Times New Roman" w:hAnsi="Times New Roman" w:eastAsia="宋体"/>
      <w:sz w:val="18"/>
      <w:szCs w:val="18"/>
    </w:rPr>
  </w:style>
  <w:style w:type="paragraph" w:styleId="Style17">
    <w:name w:val="纯文本"/>
    <w:basedOn w:val="Normal"/>
    <w:qFormat/>
    <w:pPr/>
    <w:rPr>
      <w:rFonts w:ascii="宋体" w:hAnsi="宋体" w:cs="Courier New"/>
      <w:sz w:val="24"/>
      <w:szCs w:val="21"/>
    </w:rPr>
  </w:style>
  <w:style w:type="paragraph" w:styleId="Style18">
    <w:name w:val="普通(网站)"/>
    <w:basedOn w:val="Normal"/>
    <w:qFormat/>
    <w:pPr>
      <w:widowControl/>
      <w:spacing w:before="280" w:after="280"/>
      <w:jc w:val="start"/>
    </w:pPr>
    <w:rPr>
      <w:rFonts w:ascii="宋体" w:hAnsi="宋体" w:eastAsia="宋体" w:cs="宋体"/>
      <w:kern w:val="0"/>
      <w:sz w:val="24"/>
      <w:szCs w:val="24"/>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2022-02-18T17:30:24Z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