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仿宋"/>
          <w:szCs w:val="32"/>
        </w:rPr>
      </w:pPr>
      <w:r>
        <w:rPr>
          <w:rFonts w:eastAsia="仿宋" w:ascii="Times New Roman" w:hAnsi="Times New Roman"/>
          <w:b/>
          <w:sz w:val="28"/>
          <w:szCs w:val="28"/>
        </w:rPr>
        <w:t>JF-2020-080</w:t>
      </w:r>
      <w:r>
        <w:rPr>
          <w:rFonts w:eastAsia="仿宋" w:ascii="Times New Roman" w:hAnsi="Times New Roman"/>
          <w:sz w:val="28"/>
          <w:szCs w:val="28"/>
        </w:rPr>
        <w:t xml:space="preserve"> </w:t>
      </w:r>
      <w:r>
        <w:rPr>
          <w:rFonts w:eastAsia="仿宋" w:ascii="Times New Roman" w:hAnsi="Times New Roman"/>
          <w:color w:val="FF0000"/>
          <w:sz w:val="28"/>
          <w:szCs w:val="28"/>
        </w:rPr>
        <w:t xml:space="preserve"> </w:t>
      </w:r>
      <w:r>
        <w:rPr>
          <w:rFonts w:eastAsia="仿宋" w:ascii="Times New Roman" w:hAnsi="Times New Roman"/>
          <w:sz w:val="28"/>
          <w:szCs w:val="28"/>
        </w:rPr>
        <w:t xml:space="preserve"> </w:t>
      </w:r>
      <w:r>
        <w:rPr>
          <w:rFonts w:eastAsia="仿宋" w:ascii="Times New Roman" w:hAnsi="Times New Roman"/>
          <w:szCs w:val="32"/>
        </w:rPr>
        <w:t xml:space="preserve">               </w:t>
      </w:r>
      <w:r>
        <w:rPr>
          <w:rFonts w:eastAsia="仿宋" w:ascii="Times New Roman" w:hAnsi="Times New Roman"/>
          <w:szCs w:val="32"/>
          <w:lang w:val="en-US" w:eastAsia="zh-CN"/>
        </w:rPr>
        <w:t xml:space="preserve">         </w:t>
      </w:r>
      <w:r>
        <w:rPr>
          <w:rFonts w:ascii="Times New Roman" w:hAnsi="Times New Roman" w:cs="Times New Roman"/>
          <w:b/>
          <w:color w:val="000000"/>
          <w:sz w:val="28"/>
          <w:szCs w:val="28"/>
        </w:rPr>
        <w:t>合同编号：{合同编号}</w:t>
      </w:r>
    </w:p>
    <w:p>
      <w:pPr>
        <w:pStyle w:val="Normal"/>
        <w:spacing w:lineRule="exact" w:line="560"/>
        <w:ind w:firstLine="560" w:end="0"/>
        <w:rPr>
          <w:rFonts w:ascii="Times New Roman" w:hAnsi="Times New Roman" w:eastAsia="宋体"/>
          <w:sz w:val="28"/>
          <w:szCs w:val="28"/>
        </w:rPr>
      </w:pPr>
      <w:r>
        <w:rPr>
          <w:rFonts w:eastAsia="宋体" w:ascii="Times New Roman" w:hAnsi="Times New Roman"/>
          <w:sz w:val="28"/>
          <w:szCs w:val="28"/>
        </w:rPr>
      </w:r>
    </w:p>
    <w:p>
      <w:pPr>
        <w:pStyle w:val="Normal"/>
        <w:widowControl/>
        <w:snapToGrid w:val="false"/>
        <w:spacing w:lineRule="exact" w:line="560"/>
        <w:ind w:firstLine="800" w:end="0"/>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天津市农村土地经营权流转合同</w:t>
      </w:r>
    </w:p>
    <w:p>
      <w:pPr>
        <w:pStyle w:val="Normal"/>
        <w:widowControl/>
        <w:snapToGrid w:val="false"/>
        <w:spacing w:lineRule="exact" w:line="560"/>
        <w:jc w:val="center"/>
        <w:rPr>
          <w:rFonts w:ascii="Times New Roman" w:hAnsi="Times New Roman" w:cs="宋体"/>
          <w:kern w:val="0"/>
          <w:szCs w:val="32"/>
        </w:rPr>
      </w:pPr>
      <w:r>
        <w:rPr>
          <w:rFonts w:ascii="方正楷体_GBK" w:hAnsi="方正楷体_GBK" w:cs="方正楷体_GBK" w:eastAsia="方正楷体_GBK"/>
          <w:kern w:val="0"/>
          <w:sz w:val="28"/>
          <w:szCs w:val="28"/>
        </w:rPr>
        <w:t>（本合同适用于农户流转土地经营权</w:t>
      </w:r>
      <w:r>
        <w:rPr>
          <w:rFonts w:eastAsia="方正楷体_GBK" w:cs="方正楷体_GBK" w:ascii="方正楷体_GBK" w:hAnsi="方正楷体_GBK"/>
          <w:kern w:val="0"/>
          <w:sz w:val="28"/>
          <w:szCs w:val="28"/>
        </w:rPr>
        <w:t>/</w:t>
      </w:r>
      <w:r>
        <w:rPr>
          <w:rFonts w:ascii="方正楷体_GBK" w:hAnsi="方正楷体_GBK" w:cs="方正楷体_GBK" w:eastAsia="方正楷体_GBK"/>
          <w:kern w:val="0"/>
          <w:sz w:val="28"/>
          <w:szCs w:val="28"/>
        </w:rPr>
        <w:t>农户委托村集体经济组织流转土地经营权</w:t>
      </w:r>
      <w:r>
        <w:rPr>
          <w:rFonts w:eastAsia="方正楷体_GBK" w:cs="方正楷体_GBK" w:ascii="方正楷体_GBK" w:hAnsi="方正楷体_GBK"/>
          <w:kern w:val="0"/>
          <w:sz w:val="28"/>
          <w:szCs w:val="28"/>
        </w:rPr>
        <w:t>/</w:t>
      </w:r>
      <w:r>
        <w:rPr>
          <w:rFonts w:ascii="方正楷体_GBK" w:hAnsi="方正楷体_GBK" w:cs="方正楷体_GBK" w:eastAsia="方正楷体_GBK"/>
          <w:kern w:val="0"/>
          <w:sz w:val="28"/>
          <w:szCs w:val="28"/>
        </w:rPr>
        <w:t>村集体经济组织流转机动地、新开垦耕地）</w:t>
      </w:r>
    </w:p>
    <w:p>
      <w:pPr>
        <w:pStyle w:val="Normal"/>
        <w:widowControl/>
        <w:spacing w:lineRule="exact" w:line="560"/>
        <w:ind w:firstLine="640" w:end="0"/>
        <w:rPr>
          <w:rFonts w:ascii="Times New Roman" w:hAnsi="Times New Roman" w:cs="宋体"/>
          <w:kern w:val="0"/>
          <w:szCs w:val="32"/>
        </w:rPr>
      </w:pPr>
      <w:r>
        <w:rPr>
          <w:rFonts w:cs="宋体" w:ascii="Times New Roman" w:hAnsi="Times New Roman"/>
          <w:kern w:val="0"/>
          <w:szCs w:val="32"/>
        </w:rPr>
      </w:r>
    </w:p>
    <w:p>
      <w:pPr>
        <w:pStyle w:val="Normal"/>
        <w:keepNext w:val="false"/>
        <w:keepLines w:val="false"/>
        <w:pageBreakBefore w:val="false"/>
        <w:kinsoku w:val="fals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出租人</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以下简称甲方</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w:t>
      </w:r>
      <w:r>
        <w:rPr>
          <w:rFonts w:eastAsia="方正书宋_GBK" w:cs="方正书宋_GBK" w:ascii="方正书宋_GBK" w:hAnsi="方正书宋_GBK"/>
          <w:sz w:val="22"/>
          <w:szCs w:val="22"/>
        </w:rPr>
        <w:t>{出租人姓名}</w:t>
      </w:r>
    </w:p>
    <w:p>
      <w:pPr>
        <w:pStyle w:val="Normal"/>
        <w:keepNext w:val="false"/>
        <w:keepLines w:val="false"/>
        <w:pageBreakBefore w:val="false"/>
        <w:kinsoku w:val="fals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承租人</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以下简称乙方</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w:t>
      </w:r>
      <w:r>
        <w:rPr>
          <w:rFonts w:eastAsia="方正书宋_GBK" w:cs="方正书宋_GBK" w:ascii="方正书宋_GBK" w:hAnsi="方正书宋_GBK"/>
          <w:sz w:val="22"/>
          <w:szCs w:val="22"/>
        </w:rPr>
        <w:t>{承租人姓名}</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物权法》、《中华人民共和国农村土地承包法》、《中华人民共和国农村土地承包经营纠纷调解仲裁法》等法律、法规和国家有关政策的规定，本着{平等}、{自愿}、{公平}、{诚信}的原则，经甲乙双方协商一致，订立本合同。</w:t>
      </w:r>
    </w:p>
    <w:p>
      <w:pPr>
        <w:pStyle w:val="Normal"/>
        <w:keepNext w:val="false"/>
        <w:keepLines w:val="false"/>
        <w:pageBreakBefore w:val="false"/>
        <w:numPr>
          <w:ilvl w:val="0"/>
          <w:numId w:val="23"/>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流转土地经营权基本情况、流转方式与用途</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{受让方名</w:t>
      </w:r>
      <w:r>
        <w:rPr>
          <w:rFonts w:eastAsia="方正书宋_GBK" w:cs="方正书宋_GBK" w:ascii="方正书宋_GBK" w:hAnsi="方正书宋_GBK"/>
          <w:sz w:val="22"/>
          <w:szCs w:val="22"/>
        </w:rPr>
        <w:t>称}（或受____</w:t>
      </w:r>
      <w:r>
        <w:rPr>
          <w:rFonts w:ascii="方正书宋_GBK" w:hAnsi="方正书宋_GBK" w:cs="方正书宋_GBK" w:eastAsia="方正书宋_GBK"/>
          <w:sz w:val="22"/>
          <w:szCs w:val="22"/>
        </w:rPr>
        <w:t>_</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等____户农户</w:t>
      </w:r>
      <w:r>
        <w:rPr>
          <w:rFonts w:eastAsia="方正书宋_GBK" w:cs="方正书宋_GBK" w:ascii="方正书宋_GBK" w:hAnsi="方正书宋_GBK"/>
          <w:sz w:val="22"/>
          <w:szCs w:val="22"/>
        </w:rPr>
        <w:t>的委托）将__</w:t>
      </w:r>
      <w:r>
        <w:rPr>
          <w:rFonts w:ascii="方正书宋_GBK" w:hAnsi="方正书宋_GBK" w:cs="方正书宋_GBK" w:eastAsia="方正书宋_GBK"/>
          <w:sz w:val="22"/>
          <w:szCs w:val="22"/>
        </w:rPr>
        <w:t>_____亩承包土</w:t>
      </w:r>
      <w:r>
        <w:rPr>
          <w:rFonts w:eastAsia="方正书宋_GBK" w:cs="方正书宋_GBK" w:ascii="方正书宋_GBK" w:hAnsi="方正书宋_GBK"/>
          <w:sz w:val="22"/>
          <w:szCs w:val="22"/>
        </w:rPr>
        <w:t>地</w:t>
      </w:r>
      <w:r>
        <w:rPr>
          <w:rFonts w:ascii="方正书宋_GBK" w:hAnsi="方正书宋_GBK" w:cs="方正书宋_GBK" w:eastAsia="方正书宋_GBK"/>
          <w:sz w:val="22"/>
          <w:szCs w:val="22"/>
        </w:rPr>
        <w:t>（机动地/新开垦耕地）（详见流转土地经营权基本情况</w:t>
      </w:r>
      <w:r>
        <w:rPr>
          <w:rFonts w:eastAsia="方正书宋_GBK" w:cs="方正书宋_GBK" w:ascii="方正书宋_GBK" w:hAnsi="方正书宋_GBK"/>
          <w:sz w:val="22"/>
          <w:szCs w:val="22"/>
        </w:rPr>
        <w:t>表），通过____</w:t>
      </w:r>
      <w:r>
        <w:rPr>
          <w:rFonts w:ascii="方正书宋_GBK" w:hAnsi="方正书宋_GBK" w:cs="方正书宋_GBK" w:eastAsia="方正书宋_GBK"/>
          <w:sz w:val="22"/>
          <w:szCs w:val="22"/>
        </w:rPr>
        <w:t>___</w:t>
      </w:r>
      <w:r>
        <w:rPr>
          <w:rFonts w:eastAsia="方正书宋_GBK" w:cs="方正书宋_GBK" w:ascii="方正书宋_GBK" w:hAnsi="方正书宋_GBK"/>
          <w:sz w:val="22"/>
          <w:szCs w:val="22"/>
        </w:rPr>
        <w:t>_</w:t>
      </w:r>
      <w:r>
        <w:rPr>
          <w:rFonts w:ascii="方正书宋_GBK" w:hAnsi="方正书宋_GBK" w:cs="方正书宋_GBK" w:eastAsia="方正书宋_GBK"/>
          <w:sz w:val="22"/>
          <w:szCs w:val="22"/>
        </w:rPr>
        <w:t>_（自行/农村产权流转</w:t>
      </w:r>
      <w:r>
        <w:rPr>
          <w:rFonts w:ascii="方正书宋_GBK" w:hAnsi="方正书宋_GBK" w:cs="方正书宋_GBK" w:eastAsia="方正书宋_GBK"/>
          <w:b/>
          <w:sz w:val="22"/>
          <w:szCs w:val="22"/>
        </w:rPr>
        <w:t>交易市场。注</w:t>
      </w:r>
      <w:r>
        <w:rPr>
          <w:rFonts w:ascii="方正书宋_GBK" w:hAnsi="方正书宋_GBK" w:cs="方正书宋_GBK" w:eastAsia="方正书宋_GBK"/>
          <w:b/>
          <w:kern w:val="0"/>
          <w:sz w:val="22"/>
          <w:szCs w:val="22"/>
        </w:rPr>
        <w:t>：农户流转土地经营权可自行流转，也可通过农村产权流转交易市场流转；农户委托村集体经济组织流转土地经营权或村集体经济组织流转机动地、新开垦耕地应通过农村产权流转交</w:t>
      </w:r>
      <w:r>
        <w:rPr>
          <w:rFonts w:ascii="方正书宋_GBK" w:hAnsi="方正书宋_GBK" w:cs="方正书宋_GBK" w:eastAsia="方正书宋_GBK"/>
          <w:sz w:val="22"/>
          <w:szCs w:val="22"/>
        </w:rPr>
        <w:t>易市</w:t>
      </w:r>
      <w:r>
        <w:rPr>
          <w:rFonts w:eastAsia="方正书宋_GBK" w:cs="方正书宋_GBK" w:ascii="方正书宋_GBK" w:hAnsi="方正书宋_GBK"/>
          <w:sz w:val="22"/>
          <w:szCs w:val="22"/>
        </w:rPr>
        <w:t>场流转）以_</w:t>
      </w:r>
      <w:r>
        <w:rPr>
          <w:rFonts w:ascii="方正书宋_GBK" w:hAnsi="方正书宋_GBK" w:cs="方正书宋_GBK" w:eastAsia="方正书宋_GBK"/>
          <w:sz w:val="22"/>
          <w:szCs w:val="22"/>
        </w:rPr>
        <w:t>___</w:t>
      </w:r>
      <w:r>
        <w:rPr>
          <w:rFonts w:eastAsia="方正书宋_GBK" w:cs="方正书宋_GBK" w:ascii="方正书宋_GBK" w:hAnsi="方正书宋_GBK"/>
          <w:sz w:val="22"/>
          <w:szCs w:val="22"/>
        </w:rPr>
        <w:t>_</w:t>
      </w:r>
      <w:r>
        <w:rPr>
          <w:rFonts w:ascii="方正书宋_GBK" w:hAnsi="方正书宋_GBK" w:cs="方正书宋_GBK" w:eastAsia="方正书宋_GBK"/>
          <w:sz w:val="22"/>
          <w:szCs w:val="22"/>
        </w:rPr>
        <w:t>_（</w:t>
      </w:r>
      <w:r>
        <w:rPr>
          <w:rFonts w:eastAsia="方正书宋_GBK" w:cs="方正书宋_GBK" w:ascii="方正书宋_GBK" w:hAnsi="方正书宋_GBK"/>
          <w:sz w:val="22"/>
          <w:szCs w:val="22"/>
        </w:rPr>
        <w:t>出</w:t>
      </w:r>
      <w:r>
        <w:rPr>
          <w:rFonts w:ascii="方正书宋_GBK" w:hAnsi="方正书宋_GBK" w:cs="方正书宋_GBK" w:eastAsia="方正书宋_GBK"/>
          <w:sz w:val="22"/>
          <w:szCs w:val="22"/>
        </w:rPr>
        <w:t>租/入股/其他）方式流转给</w:t>
      </w:r>
      <w:r>
        <w:rPr>
          <w:rFonts w:eastAsia="方正书宋_GBK" w:cs="方正书宋_GBK" w:ascii="方正书宋_GBK" w:hAnsi="方正书宋_GBK"/>
          <w:sz w:val="22"/>
          <w:szCs w:val="22"/>
        </w:rPr>
        <w:t>{受让方名称}，从事</w:t>
      </w:r>
      <w:r>
        <w:rPr>
          <w:rFonts w:ascii="方正书宋_GBK" w:hAnsi="方正书宋_GBK" w:cs="方正书宋_GBK" w:eastAsia="方正书宋_GBK"/>
          <w:sz w:val="22"/>
          <w:szCs w:val="22"/>
        </w:rPr>
        <w:t>__________生产经营。</w:t>
      </w:r>
    </w:p>
    <w:p>
      <w:pPr>
        <w:pStyle w:val="Normal"/>
        <w:keepNext w:val="false"/>
        <w:keepLines w:val="false"/>
        <w:pageBreakBefore w:val="false"/>
        <w:numPr>
          <w:ilvl w:val="0"/>
          <w:numId w:val="14"/>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流转期限和交付时间</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土地经营权流转期限为</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年，自</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日起至</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w:t>
      </w:r>
      <w:r>
        <w:rPr>
          <w:rFonts w:ascii="方正书宋_GBK" w:hAnsi="方正书宋_GBK" w:cs="方正书宋_GBK" w:eastAsia="方正书宋_GBK"/>
          <w:b/>
          <w:sz w:val="22"/>
          <w:szCs w:val="22"/>
        </w:rPr>
        <w:t>（最长不得超过我市二轮土地承包期到期日</w:t>
      </w:r>
      <w:r>
        <w:rPr>
          <w:rFonts w:eastAsia="方正书宋_GBK" w:cs="方正书宋_GBK" w:ascii="方正书宋_GBK" w:hAnsi="方正书宋_GBK"/>
          <w:b/>
          <w:sz w:val="22"/>
          <w:szCs w:val="22"/>
        </w:rPr>
        <w:t>2027</w:t>
      </w:r>
      <w:r>
        <w:rPr>
          <w:rFonts w:ascii="方正书宋_GBK" w:hAnsi="方正书宋_GBK" w:cs="方正书宋_GBK" w:eastAsia="方正书宋_GBK"/>
          <w:b/>
          <w:sz w:val="22"/>
          <w:szCs w:val="22"/>
        </w:rPr>
        <w:t>年</w:t>
      </w:r>
      <w:r>
        <w:rPr>
          <w:rFonts w:eastAsia="方正书宋_GBK" w:cs="方正书宋_GBK" w:ascii="方正书宋_GBK" w:hAnsi="方正书宋_GBK"/>
          <w:b/>
          <w:sz w:val="22"/>
          <w:szCs w:val="22"/>
        </w:rPr>
        <w:t>12</w:t>
      </w:r>
      <w:r>
        <w:rPr>
          <w:rFonts w:ascii="方正书宋_GBK" w:hAnsi="方正书宋_GBK" w:cs="方正书宋_GBK" w:eastAsia="方正书宋_GBK"/>
          <w:b/>
          <w:sz w:val="22"/>
          <w:szCs w:val="22"/>
        </w:rPr>
        <w:t>月</w:t>
      </w:r>
      <w:r>
        <w:rPr>
          <w:rFonts w:eastAsia="方正书宋_GBK" w:cs="方正书宋_GBK" w:ascii="方正书宋_GBK" w:hAnsi="方正书宋_GBK"/>
          <w:b/>
          <w:sz w:val="22"/>
          <w:szCs w:val="22"/>
        </w:rPr>
        <w:t>31</w:t>
      </w:r>
      <w:r>
        <w:rPr>
          <w:rFonts w:ascii="方正书宋_GBK" w:hAnsi="方正书宋_GBK" w:cs="方正书宋_GBK" w:eastAsia="方正书宋_GBK"/>
          <w:b/>
          <w:sz w:val="22"/>
          <w:szCs w:val="22"/>
        </w:rPr>
        <w:t>日）</w:t>
      </w:r>
      <w:r>
        <w:rPr>
          <w:rFonts w:ascii="方正书宋_GBK" w:hAnsi="方正书宋_GBK" w:cs="方正书宋_GBK" w:eastAsia="方正书宋_GBK"/>
          <w:sz w:val="22"/>
          <w:szCs w:val="22"/>
        </w:rPr>
        <w:t>止。</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甲方应于</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日之前将流转土地交付乙方。法律或行政法规要求流转土地经营权备案的，甲乙双方应于</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日前提交备案材料。</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流转价款与支付方式</w:t>
      </w:r>
    </w:p>
    <w:p>
      <w:pPr>
        <w:pStyle w:val="Normal"/>
        <w:keepNext w:val="false"/>
        <w:keepLines w:val="false"/>
        <w:pageBreakBefore w:val="fals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A.</w:t>
      </w:r>
      <w:r>
        <w:rPr>
          <w:rFonts w:ascii="方正书宋_GBK" w:hAnsi="方正书宋_GBK" w:cs="方正书宋_GBK" w:eastAsia="方正书宋_GBK"/>
          <w:b/>
          <w:sz w:val="22"/>
          <w:szCs w:val="22"/>
        </w:rPr>
        <w:t>若采取出租（转包）或其他方式流转土地经营权，流转价款按下列第</w:t>
      </w:r>
      <w:r>
        <w:rPr>
          <w:rFonts w:ascii="方正书宋_GBK" w:hAnsi="方正书宋_GBK" w:cs="方正书宋_GBK" w:eastAsia="方正书宋_GBK"/>
          <w:b/>
          <w:sz w:val="22"/>
          <w:szCs w:val="22"/>
          <w:u w:val="single"/>
        </w:rPr>
        <w:t>{选择方</w:t>
      </w:r>
      <w:r>
        <w:rPr>
          <w:rFonts w:ascii="方正书宋_GBK" w:hAnsi="方正书宋_GBK" w:cs="方正书宋_GBK" w:eastAsia="方正书宋_GBK"/>
          <w:b/>
          <w:sz w:val="22"/>
          <w:szCs w:val="22"/>
        </w:rPr>
        <w:t>式}种方式支付：</w:t>
      </w:r>
    </w:p>
    <w:p>
      <w:pPr>
        <w:pStyle w:val="Normal"/>
        <w:keepNext w:val="false"/>
        <w:keepLines w:val="false"/>
        <w:pageBreakBefore w:val="false"/>
        <w:numPr>
          <w:ilvl w:val="0"/>
          <w:numId w:val="24"/>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实物折合流转费用结算方式。乙方须于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年</w:t>
      </w:r>
      <w:r>
        <w:rPr>
          <w:rFonts w:ascii="方正书宋_GBK" w:hAnsi="方正书宋_GBK" w:cs="方正书宋_GBK" w:eastAsia="方正书宋_GBK"/>
          <w:sz w:val="22"/>
          <w:szCs w:val="22"/>
        </w:rPr>
        <w:t xml:space="preserve">份}} </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日</w:t>
      </w:r>
      <w:r>
        <w:rPr>
          <w:rFonts w:ascii="方正书宋_GBK" w:hAnsi="方正书宋_GBK" w:cs="方正书宋_GBK" w:eastAsia="方正书宋_GBK"/>
          <w:sz w:val="22"/>
          <w:szCs w:val="22"/>
        </w:rPr>
        <w:t xml:space="preserve">前按每亩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数量}}   </w:t>
      </w:r>
      <w:r>
        <w:rPr>
          <w:rFonts w:ascii="方正书宋_GBK" w:hAnsi="方正书宋_GBK" w:cs="方正书宋_GBK" w:eastAsia="方正书宋_GBK"/>
          <w:sz w:val="22"/>
          <w:szCs w:val="22"/>
        </w:rPr>
        <w:t xml:space="preserve">  斤</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（小麦/</w:t>
      </w:r>
      <w:r>
        <w:rPr>
          <w:rFonts w:ascii="方正书宋_GBK" w:hAnsi="方正书宋_GBK" w:cs="方正书宋_GBK" w:eastAsia="方正书宋_GBK"/>
          <w:sz w:val="22"/>
          <w:szCs w:val="22"/>
          <w:u w:val="single"/>
        </w:rPr>
        <w:t>稻谷/其他实</w:t>
      </w:r>
      <w:r>
        <w:rPr>
          <w:rFonts w:ascii="方正书宋_GBK" w:hAnsi="方正书宋_GBK" w:cs="方正书宋_GBK" w:eastAsia="方正书宋_GBK"/>
          <w:sz w:val="22"/>
          <w:szCs w:val="22"/>
        </w:rPr>
        <w:t>物等）的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（市场价/当地政府收购指导价）为标准，折合成货币向甲方支付当年流转费用。</w:t>
      </w:r>
    </w:p>
    <w:p>
      <w:pPr>
        <w:pStyle w:val="Normal"/>
        <w:keepNext w:val="false"/>
        <w:keepLines w:val="false"/>
        <w:pageBreakBefore w:val="false"/>
        <w:numPr>
          <w:ilvl w:val="0"/>
          <w:numId w:val="15"/>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货币分期支付方式。流转费用按照</w:t>
      </w:r>
      <w:r>
        <w:rPr>
          <w:rFonts w:ascii="方正书宋_GBK" w:hAnsi="方正书宋_GBK" w:cs="方正书宋_GBK" w:eastAsia="方正书宋_GBK"/>
          <w:sz w:val="22"/>
          <w:szCs w:val="22"/>
          <w:u w:val="single"/>
        </w:rPr>
        <w:t xml:space="preserve"> {流转费</w:t>
      </w:r>
      <w:r>
        <w:rPr>
          <w:rFonts w:ascii="方正书宋_GBK" w:hAnsi="方正书宋_GBK" w:cs="方正书宋_GBK" w:eastAsia="方正书宋_GBK"/>
          <w:sz w:val="22"/>
          <w:szCs w:val="22"/>
        </w:rPr>
        <w:t>用</w:t>
      </w:r>
      <w:r>
        <w:rPr>
          <w:rFonts w:eastAsia="方正书宋_GBK" w:cs="方正书宋_GBK" w:ascii="方正书宋_GBK" w:hAnsi="方正书宋_GBK"/>
          <w:sz w:val="22"/>
          <w:szCs w:val="22"/>
        </w:rPr>
        <w:t>标</w:t>
      </w:r>
      <w:r>
        <w:rPr>
          <w:rFonts w:ascii="方正书宋_GBK" w:hAnsi="方正书宋_GBK" w:cs="方正书宋_GBK" w:eastAsia="方正书宋_GBK"/>
          <w:sz w:val="22"/>
          <w:szCs w:val="22"/>
        </w:rPr>
        <w:t>准} 元/亩标准</w:t>
      </w:r>
      <w:r>
        <w:rPr>
          <w:rFonts w:ascii="方正书宋_GBK" w:hAnsi="方正书宋_GBK" w:cs="方正书宋_GBK" w:eastAsia="方正书宋_GBK"/>
          <w:sz w:val="22"/>
          <w:szCs w:val="22"/>
          <w:u w:val="single"/>
        </w:rPr>
        <w:t xml:space="preserve">计算，合计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全</w:t>
      </w:r>
      <w:r>
        <w:rPr>
          <w:rFonts w:ascii="方正书宋_GBK" w:hAnsi="方正书宋_GBK" w:cs="方正书宋_GBK" w:eastAsia="方正书宋_GBK"/>
          <w:sz w:val="22"/>
          <w:szCs w:val="22"/>
        </w:rPr>
        <w:t xml:space="preserve">年流转费用} </w:t>
      </w:r>
      <w:r>
        <w:rPr>
          <w:rFonts w:ascii="方正书宋_GBK" w:hAnsi="方正书宋_GBK" w:cs="方正书宋_GBK" w:eastAsia="方正书宋_GBK"/>
          <w:sz w:val="22"/>
          <w:szCs w:val="22"/>
          <w:u w:val="single"/>
        </w:rPr>
        <w:t>元/年。</w:t>
      </w:r>
      <w:r>
        <w:rPr>
          <w:rFonts w:ascii="方正书宋_GBK" w:hAnsi="方正书宋_GBK" w:cs="方正书宋_GBK" w:eastAsia="方正书宋_GBK"/>
          <w:sz w:val="22"/>
          <w:szCs w:val="22"/>
        </w:rPr>
        <w:t>乙方</w:t>
      </w:r>
      <w:r>
        <w:rPr>
          <w:rFonts w:eastAsia="方正书宋_GBK" w:cs="方正书宋_GBK" w:ascii="方正书宋_GBK" w:hAnsi="方正书宋_GBK"/>
          <w:sz w:val="22"/>
          <w:szCs w:val="22"/>
        </w:rPr>
        <w:t>须</w:t>
      </w:r>
      <w:r>
        <w:rPr>
          <w:rFonts w:ascii="方正书宋_GBK" w:hAnsi="方正书宋_GBK" w:cs="方正书宋_GBK" w:eastAsia="方正书宋_GBK"/>
          <w:sz w:val="22"/>
          <w:szCs w:val="22"/>
        </w:rPr>
        <w:t>于 {支付</w:t>
      </w:r>
      <w:r>
        <w:rPr>
          <w:rFonts w:ascii="方正书宋_GBK" w:hAnsi="方正书宋_GBK" w:cs="方正书宋_GBK" w:eastAsia="方正书宋_GBK"/>
          <w:sz w:val="22"/>
          <w:szCs w:val="22"/>
          <w:u w:val="single"/>
        </w:rPr>
        <w:t>时间类型</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（当/</w:t>
      </w:r>
      <w:r>
        <w:rPr>
          <w:rFonts w:ascii="方正书宋_GBK" w:hAnsi="方正书宋_GBK" w:cs="方正书宋_GBK" w:eastAsia="方正书宋_GBK"/>
          <w:sz w:val="22"/>
          <w:szCs w:val="22"/>
        </w:rPr>
        <w:t>前一）年 {具体支付月份} 月 {具体支付日期} 日前支付当年流转费用。</w:t>
      </w:r>
    </w:p>
    <w:p>
      <w:pPr>
        <w:pStyle w:val="Normal"/>
        <w:keepNext w:val="false"/>
        <w:keepLines w:val="false"/>
        <w:pageBreakBefore w:val="false"/>
        <w:numPr>
          <w:ilvl w:val="0"/>
          <w:numId w:val="0"/>
        </w:numPr>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（或：第一次支付：乙方于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{金额}；）</w:t>
      </w:r>
      <w:r>
        <w:rPr>
          <w:rFonts w:ascii="方正书宋_GBK" w:hAnsi="方正书宋_GBK" w:cs="方正书宋_GBK" w:eastAsia="方正书宋_GBK"/>
          <w:sz w:val="22"/>
          <w:szCs w:val="22"/>
        </w:rPr>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{金额}；</w:t>
      </w:r>
      <w:r>
        <w:rPr>
          <w:rFonts w:ascii="方正书宋_GBK" w:hAnsi="方正书宋_GBK" w:cs="方正书宋_GBK" w:eastAsia="方正书宋_GBK"/>
          <w:sz w:val="22"/>
          <w:szCs w:val="22"/>
        </w:rPr>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{金额}。</w:t>
      </w:r>
      <w:r>
        <w:rPr>
          <w:rFonts w:ascii="方正书宋_GBK" w:hAnsi="方正书宋_GBK" w:cs="方正书宋_GBK" w:eastAsia="方正书宋_GBK"/>
          <w:sz w:val="22"/>
          <w:szCs w:val="22"/>
        </w:rPr>
        <w:t>）</w:t>
      </w:r>
    </w:p>
    <w:p>
      <w:pPr>
        <w:pStyle w:val="Normal"/>
        <w:keepNext w:val="false"/>
        <w:keepLines w:val="false"/>
        <w:pageBreakBefore w:val="false"/>
        <w:numPr>
          <w:ilvl w:val="0"/>
          <w:numId w:val="5"/>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货币一次性付款方式。流转费用按</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亩</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年计算，共计</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元。乙方须于</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日前支付全部流转费用。</w:t>
      </w:r>
    </w:p>
    <w:p>
      <w:pPr>
        <w:pStyle w:val="Normal"/>
        <w:keepNext w:val="false"/>
        <w:keepLines w:val="false"/>
        <w:pageBreakBefore w:val="false"/>
        <w:numPr>
          <w:ilvl w:val="0"/>
          <w:numId w:val="5"/>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其他支付方式：</w:t>
      </w:r>
      <w:r>
        <w:rPr>
          <w:rFonts w:eastAsia="方正书宋_GBK" w:cs="方正书宋_GBK" w:ascii="方正书宋_GBK" w:hAnsi="方正书宋_GBK"/>
          <w:sz w:val="22"/>
          <w:szCs w:val="22"/>
        </w:rPr>
        <w:t>{其他支付方式}。</w:t>
      </w:r>
      <w:r>
        <w:rPr>
          <w:rFonts w:ascii="方正书宋_GBK" w:hAnsi="方正书宋_GBK" w:cs="方正书宋_GBK" w:eastAsia="方正书宋_GBK"/>
          <w:sz w:val="22"/>
          <w:szCs w:val="22"/>
        </w:rPr>
      </w:r>
    </w:p>
    <w:p>
      <w:pPr>
        <w:pStyle w:val="Normal"/>
        <w:keepNext w:val="false"/>
        <w:keepLines w:val="false"/>
        <w:pageBreakBefore w:val="false"/>
        <w:numPr>
          <w:ilvl w:val="0"/>
          <w:numId w:val="5"/>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流转费用变动：</w:t>
      </w:r>
      <w:r>
        <w:rPr>
          <w:rFonts w:eastAsia="方正书宋_GBK" w:cs="方正书宋_GBK" w:ascii="方正书宋_GBK" w:hAnsi="方正书宋_GBK"/>
          <w:sz w:val="22"/>
          <w:szCs w:val="22"/>
        </w:rPr>
        <w:t>{流转费用变动}。</w:t>
      </w:r>
      <w:r>
        <w:rPr>
          <w:rFonts w:ascii="方正书宋_GBK" w:hAnsi="方正书宋_GBK" w:cs="方正书宋_GBK" w:eastAsia="方正书宋_GBK"/>
          <w:sz w:val="22"/>
          <w:szCs w:val="22"/>
        </w:rPr>
      </w:r>
    </w:p>
    <w:p>
      <w:pPr>
        <w:pStyle w:val="Normal"/>
        <w:keepNext w:val="false"/>
        <w:keepLines w:val="false"/>
        <w:pageBreakBefore w:val="fals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B.</w:t>
      </w:r>
      <w:r>
        <w:rPr>
          <w:rFonts w:ascii="方正书宋_GBK" w:hAnsi="方正书宋_GBK" w:cs="方正书宋_GBK" w:eastAsia="方正书宋_GBK"/>
          <w:b/>
          <w:sz w:val="22"/>
          <w:szCs w:val="22"/>
        </w:rPr>
        <w:t>若采取入股方式流转土地经营权，则按下列第</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_\_}种方式分配股份红利：</w:t>
      </w:r>
    </w:p>
    <w:p>
      <w:pPr>
        <w:pStyle w:val="Normal"/>
        <w:keepNext w:val="false"/>
        <w:keepLines w:val="false"/>
        <w:pageBreakBefore w:val="false"/>
        <w:numPr>
          <w:ilvl w:val="0"/>
          <w:numId w:val="25"/>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保底分红，以实物折合现金方式支付：按照每亩每年保底分配</w:t>
      </w:r>
      <w:r>
        <w:rPr>
          <w:rFonts w:eastAsia="方正书宋_GBK" w:cs="方正书宋_GBK" w:ascii="方正书宋_GBK" w:hAnsi="方正书宋_GBK"/>
          <w:sz w:val="22"/>
          <w:szCs w:val="22"/>
        </w:rPr>
        <w:t>{实物重量</w:t>
      </w:r>
      <w:r>
        <w:rPr>
          <w:rFonts w:ascii="方正书宋_GBK" w:hAnsi="方正书宋_GBK" w:cs="方正书宋_GBK" w:eastAsia="方正书宋_GBK"/>
          <w:sz w:val="22"/>
          <w:szCs w:val="22"/>
        </w:rPr>
        <w:t>}公</w:t>
      </w:r>
      <w:r>
        <w:rPr>
          <w:rFonts w:ascii="方正书宋_GBK" w:hAnsi="方正书宋_GBK" w:cs="方正书宋_GBK" w:eastAsia="方正书宋_GBK"/>
          <w:sz w:val="22"/>
          <w:szCs w:val="22"/>
          <w:u w:val="single"/>
        </w:rPr>
        <w:t xml:space="preserve">斤   </w:t>
      </w:r>
      <w:r>
        <w:rPr>
          <w:rFonts w:ascii="方正书宋_GBK" w:hAnsi="方正书宋_GBK" w:cs="方正书宋_GBK" w:eastAsia="方正书宋_GBK"/>
          <w:sz w:val="22"/>
          <w:szCs w:val="22"/>
        </w:rPr>
        <w:t xml:space="preserve"> （小</w:t>
      </w:r>
      <w:r>
        <w:rPr>
          <w:rFonts w:eastAsia="方正书宋_GBK" w:cs="方正书宋_GBK" w:ascii="方正书宋_GBK" w:hAnsi="方正书宋_GBK"/>
          <w:sz w:val="22"/>
          <w:szCs w:val="22"/>
        </w:rPr>
        <w:t>麦</w:t>
      </w:r>
      <w:r>
        <w:rPr>
          <w:rFonts w:ascii="方正书宋_GBK" w:hAnsi="方正书宋_GBK" w:cs="方正书宋_GBK" w:eastAsia="方正书宋_GBK"/>
          <w:sz w:val="22"/>
          <w:szCs w:val="22"/>
        </w:rPr>
        <w:t>/稻</w:t>
      </w:r>
      <w:r>
        <w:rPr>
          <w:rFonts w:eastAsia="方正书宋_GBK" w:cs="方正书宋_GBK" w:ascii="方正书宋_GBK" w:hAnsi="方正书宋_GBK"/>
          <w:sz w:val="22"/>
          <w:szCs w:val="22"/>
        </w:rPr>
        <w:t>谷</w:t>
      </w:r>
      <w:r>
        <w:rPr>
          <w:rFonts w:ascii="方正书宋_GBK" w:hAnsi="方正书宋_GBK" w:cs="方正书宋_GBK" w:eastAsia="方正书宋_GBK"/>
          <w:sz w:val="22"/>
          <w:szCs w:val="22"/>
        </w:rPr>
        <w:t>/其他实物等）的标准，</w:t>
      </w:r>
      <w:r>
        <w:rPr>
          <w:rFonts w:eastAsia="方正书宋_GBK" w:cs="方正书宋_GBK" w:ascii="方正书宋_GBK" w:hAnsi="方正书宋_GBK"/>
          <w:sz w:val="22"/>
          <w:szCs w:val="22"/>
        </w:rPr>
        <w:t>以{年份}</w:t>
      </w:r>
      <w:r>
        <w:rPr>
          <w:rFonts w:ascii="方正书宋_GBK" w:hAnsi="方正书宋_GBK" w:cs="方正书宋_GBK" w:eastAsia="方正书宋_GBK"/>
          <w:sz w:val="22"/>
          <w:szCs w:val="22"/>
        </w:rPr>
        <w:t>（当年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上年）</w:t>
      </w:r>
      <w:r>
        <w:rPr>
          <w:rFonts w:eastAsia="方正书宋_GBK" w:cs="方正书宋_GBK" w:ascii="方正书宋_GBK" w:hAnsi="方正书宋_GBK"/>
          <w:sz w:val="22"/>
          <w:szCs w:val="22"/>
        </w:rPr>
        <w:t>{价格类型}（</w:t>
      </w:r>
      <w:r>
        <w:rPr>
          <w:rFonts w:ascii="方正书宋_GBK" w:hAnsi="方正书宋_GBK" w:cs="方正书宋_GBK" w:eastAsia="方正书宋_GBK"/>
          <w:sz w:val="22"/>
          <w:szCs w:val="22"/>
        </w:rPr>
        <w:t>市场价/</w:t>
      </w:r>
      <w:r>
        <w:rPr>
          <w:rFonts w:eastAsia="方正书宋_GBK" w:cs="方正书宋_GBK" w:ascii="方正书宋_GBK" w:hAnsi="方正书宋_GBK"/>
          <w:sz w:val="22"/>
          <w:szCs w:val="22"/>
        </w:rPr>
        <w:t>当</w:t>
      </w:r>
      <w:r>
        <w:rPr>
          <w:rFonts w:ascii="方正书宋_GBK" w:hAnsi="方正书宋_GBK" w:cs="方正书宋_GBK" w:eastAsia="方正书宋_GBK"/>
          <w:sz w:val="22"/>
          <w:szCs w:val="22"/>
        </w:rPr>
        <w:t>地政府收购指导价）折合现金支付。保底分配后如有盈余部分按{</w:t>
      </w:r>
      <w:r>
        <w:rPr>
          <w:rFonts w:eastAsia="方正书宋_GBK" w:cs="方正书宋_GBK" w:ascii="方正书宋_GBK" w:hAnsi="方正书宋_GBK"/>
          <w:sz w:val="22"/>
          <w:szCs w:val="22"/>
        </w:rPr>
        <w:t>分红比例}比例分配现金。</w:t>
      </w:r>
      <w:r>
        <w:rPr>
          <w:rFonts w:ascii="方正书宋_GBK" w:hAnsi="方正书宋_GBK" w:cs="方正书宋_GBK" w:eastAsia="方正书宋_GBK"/>
          <w:sz w:val="22"/>
          <w:szCs w:val="22"/>
        </w:rPr>
      </w:r>
    </w:p>
    <w:p>
      <w:pPr>
        <w:pStyle w:val="Normal"/>
        <w:keepNext w:val="false"/>
        <w:keepLines w:val="false"/>
        <w:pageBreakBefore w:val="false"/>
        <w:numPr>
          <w:ilvl w:val="0"/>
          <w:numId w:val="16"/>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保底分红，以现金方式支付：第</w:t>
      </w:r>
      <w:r>
        <w:rPr>
          <w:rFonts w:ascii="方正书宋_GBK" w:hAnsi="方正书宋_GBK" w:cs="方正书宋_GBK" w:eastAsia="方正书宋_GBK"/>
          <w:sz w:val="22"/>
          <w:szCs w:val="22"/>
          <w:u w:val="single"/>
        </w:rPr>
        <w:t xml:space="preserve"> {生产年</w:t>
      </w:r>
      <w:r>
        <w:rPr>
          <w:rFonts w:ascii="方正书宋_GBK" w:hAnsi="方正书宋_GBK" w:cs="方正书宋_GBK" w:eastAsia="方正书宋_GBK"/>
          <w:sz w:val="22"/>
          <w:szCs w:val="22"/>
        </w:rPr>
        <w:t>度} 个生产年度乙方按</w:t>
      </w:r>
      <w:r>
        <w:rPr>
          <w:rFonts w:eastAsia="方正书宋_GBK" w:cs="方正书宋_GBK" w:ascii="方正书宋_GBK" w:hAnsi="方正书宋_GBK"/>
          <w:sz w:val="22"/>
          <w:szCs w:val="22"/>
        </w:rPr>
        <w:t>照每亩 {分配</w:t>
      </w:r>
      <w:r>
        <w:rPr>
          <w:rFonts w:ascii="方正书宋_GBK" w:hAnsi="方正书宋_GBK" w:cs="方正书宋_GBK" w:eastAsia="方正书宋_GBK"/>
          <w:sz w:val="22"/>
          <w:szCs w:val="22"/>
        </w:rPr>
        <w:t>金额} 元</w:t>
      </w:r>
      <w:r>
        <w:rPr>
          <w:rFonts w:eastAsia="方正书宋_GBK" w:cs="方正书宋_GBK" w:ascii="方正书宋_GBK" w:hAnsi="方正书宋_GBK"/>
          <w:sz w:val="22"/>
          <w:szCs w:val="22"/>
        </w:rPr>
        <w:t>（大写：{大写金额}）的标准</w:t>
      </w:r>
      <w:r>
        <w:rPr>
          <w:rFonts w:ascii="方正书宋_GBK" w:hAnsi="方正书宋_GBK" w:cs="方正书宋_GBK" w:eastAsia="方正书宋_GBK"/>
          <w:sz w:val="22"/>
          <w:szCs w:val="22"/>
        </w:rPr>
        <w:t>给予甲方保底分配。以后每年由乙方召开 {大会</w:t>
      </w:r>
      <w:r>
        <w:rPr>
          <w:rFonts w:ascii="方正书宋_GBK" w:hAnsi="方正书宋_GBK" w:cs="方正书宋_GBK" w:eastAsia="方正书宋_GBK"/>
          <w:sz w:val="22"/>
          <w:szCs w:val="22"/>
          <w:u w:val="single"/>
        </w:rPr>
        <w:t>名称} 大会讨论决定保底</w:t>
      </w:r>
      <w:r>
        <w:rPr>
          <w:rFonts w:ascii="方正书宋_GBK" w:hAnsi="方正书宋_GBK" w:cs="方正书宋_GBK" w:eastAsia="方正书宋_GBK"/>
          <w:sz w:val="22"/>
          <w:szCs w:val="22"/>
        </w:rPr>
        <w:t>分配标准。保底分配后如有盈余部分按以下比例分配现金：{分配比例}。</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numPr>
          <w:ilvl w:val="0"/>
          <w:numId w:val="8"/>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不保底分红。具体方式为：</w:t>
      </w:r>
      <w:r>
        <w:rPr>
          <w:rFonts w:eastAsia="方正书宋_GBK" w:cs="方正书宋_GBK" w:ascii="方正书宋_GBK" w:hAnsi="方正书宋_GBK"/>
          <w:sz w:val="22"/>
          <w:szCs w:val="22"/>
        </w:rPr>
        <w:t>{具体方式}。</w:t>
      </w:r>
      <w:r>
        <w:rPr>
          <w:rFonts w:ascii="方正书宋_GBK" w:hAnsi="方正书宋_GBK" w:cs="方正书宋_GBK" w:eastAsia="方正书宋_GBK"/>
          <w:sz w:val="22"/>
          <w:szCs w:val="22"/>
        </w:rPr>
      </w:r>
    </w:p>
    <w:p>
      <w:pPr>
        <w:pStyle w:val="Normal"/>
        <w:keepNext w:val="false"/>
        <w:keepLines w:val="false"/>
        <w:pageBreakBefore w:val="false"/>
        <w:numPr>
          <w:ilvl w:val="0"/>
          <w:numId w:val="8"/>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分红支付时间：乙方于每年</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日之前向甲方支付保底分配部分；</w:t>
      </w:r>
      <w:r>
        <w:rPr>
          <w:rFonts w:ascii="方正书宋_GBK" w:hAnsi="方正书宋_GBK" w:cs="方正书宋_GBK" w:eastAsia="方正书宋_GBK"/>
          <w:sz w:val="22"/>
          <w:szCs w:val="22"/>
          <w:u w:val="single"/>
        </w:rPr>
        <w:t>{年份}</w:t>
      </w:r>
      <w:r>
        <w:rPr>
          <w:rFonts w:ascii="方正书宋_GBK" w:hAnsi="方正书宋_GBK" w:cs="方正书宋_GBK" w:eastAsia="方正书宋_GBK"/>
          <w:sz w:val="22"/>
          <w:szCs w:val="22"/>
        </w:rPr>
        <w:t>（当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次）年</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日之前支付盈余分配部分。</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甲方的权利和义务</w:t>
      </w:r>
    </w:p>
    <w:p>
      <w:pPr>
        <w:pStyle w:val="Normal"/>
        <w:keepNext w:val="false"/>
        <w:keepLines w:val="false"/>
        <w:pageBreakBefore w:val="false"/>
        <w:numPr>
          <w:ilvl w:val="0"/>
          <w:numId w:val="26"/>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甲方的权利</w:t>
      </w:r>
    </w:p>
    <w:p>
      <w:pPr>
        <w:pStyle w:val="Normal"/>
        <w:keepNext w:val="false"/>
        <w:keepLines w:val="false"/>
        <w:pageBreakBefore w:val="false"/>
        <w:numPr>
          <w:ilvl w:val="0"/>
          <w:numId w:val="27"/>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有权监督乙方按合同约定依法利用和保护该流转土地；</w:t>
      </w:r>
    </w:p>
    <w:p>
      <w:pPr>
        <w:pStyle w:val="Normal"/>
        <w:keepNext w:val="false"/>
        <w:keepLines w:val="false"/>
        <w:pageBreakBefore w:val="false"/>
        <w:numPr>
          <w:ilvl w:val="0"/>
          <w:numId w:val="18"/>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有权在本合同到期后收回该流转土地；</w:t>
      </w:r>
    </w:p>
    <w:p>
      <w:pPr>
        <w:pStyle w:val="Normal"/>
        <w:keepNext w:val="false"/>
        <w:keepLines w:val="false"/>
        <w:pageBreakBefore w:val="false"/>
        <w:numPr>
          <w:ilvl w:val="0"/>
          <w:numId w:val="2"/>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该流转土地被依法征收、征用、占用的，有权获得</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补偿。</w:t>
      </w:r>
    </w:p>
    <w:p>
      <w:pPr>
        <w:pStyle w:val="Normal"/>
        <w:keepNext w:val="false"/>
        <w:keepLines w:val="false"/>
        <w:pageBreakBefore w:val="false"/>
        <w:numPr>
          <w:ilvl w:val="0"/>
          <w:numId w:val="2"/>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乙方无正当理由未支付或者延迟支付流转价款的，甲方可以要求乙方在合理期限内支付。经催告后，在合理期限内乙方仍未支付的，甲方可以解除合同。</w:t>
      </w:r>
    </w:p>
    <w:p>
      <w:pPr>
        <w:pStyle w:val="Normal"/>
        <w:keepNext w:val="false"/>
        <w:keepLines w:val="false"/>
        <w:pageBreakBefore w:val="false"/>
        <w:numPr>
          <w:ilvl w:val="0"/>
          <w:numId w:val="17"/>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甲方的义务</w:t>
      </w:r>
    </w:p>
    <w:p>
      <w:pPr>
        <w:pStyle w:val="Normal"/>
        <w:keepNext w:val="false"/>
        <w:keepLines w:val="false"/>
        <w:pageBreakBefore w:val="false"/>
        <w:numPr>
          <w:ilvl w:val="0"/>
          <w:numId w:val="28"/>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按时交付约定流转的土地；</w:t>
      </w:r>
    </w:p>
    <w:p>
      <w:pPr>
        <w:pStyle w:val="Normal"/>
        <w:keepNext w:val="false"/>
        <w:keepLines w:val="false"/>
        <w:pageBreakBefore w:val="false"/>
        <w:numPr>
          <w:ilvl w:val="0"/>
          <w:numId w:val="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确认该流转土地权属合法、清晰，无任何与该流转土地有关的权属纠纷和经济纠纷；</w:t>
      </w:r>
    </w:p>
    <w:p>
      <w:pPr>
        <w:pStyle w:val="Normal"/>
        <w:keepNext w:val="false"/>
        <w:keepLines w:val="false"/>
        <w:pageBreakBefore w:val="false"/>
        <w:numPr>
          <w:ilvl w:val="0"/>
          <w:numId w:val="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协助乙方处理涉及该流转土地的用路、用水、用电等纠纷；</w:t>
      </w:r>
    </w:p>
    <w:p>
      <w:pPr>
        <w:pStyle w:val="Normal"/>
        <w:keepNext w:val="false"/>
        <w:keepLines w:val="false"/>
        <w:pageBreakBefore w:val="false"/>
        <w:numPr>
          <w:ilvl w:val="0"/>
          <w:numId w:val="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不得干涉和妨碍乙方依法进行的正常生产经营活动。</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乙方的权利和义务</w:t>
      </w:r>
    </w:p>
    <w:p>
      <w:pPr>
        <w:pStyle w:val="Normal"/>
        <w:keepNext w:val="false"/>
        <w:keepLines w:val="false"/>
        <w:pageBreakBefore w:val="false"/>
        <w:numPr>
          <w:ilvl w:val="0"/>
          <w:numId w:val="2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乙方的权利</w:t>
      </w:r>
    </w:p>
    <w:p>
      <w:pPr>
        <w:pStyle w:val="Normal"/>
        <w:keepNext w:val="false"/>
        <w:keepLines w:val="false"/>
        <w:pageBreakBefore w:val="false"/>
        <w:numPr>
          <w:ilvl w:val="0"/>
          <w:numId w:val="30"/>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有权要求甲方按合同约定交付该流转土地，并依法自主经营、处置产品、获得收益；</w:t>
      </w:r>
    </w:p>
    <w:p>
      <w:pPr>
        <w:pStyle w:val="Normal"/>
        <w:keepNext w:val="false"/>
        <w:keepLines w:val="false"/>
        <w:pageBreakBefore w:val="false"/>
        <w:numPr>
          <w:ilvl w:val="0"/>
          <w:numId w:val="20"/>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有权利用该流转土地上已有的开展农业生产所必需的水系、道路、构筑物等设施；</w:t>
      </w:r>
    </w:p>
    <w:p>
      <w:pPr>
        <w:pStyle w:val="Normal"/>
        <w:keepNext w:val="false"/>
        <w:keepLines w:val="false"/>
        <w:pageBreakBefore w:val="false"/>
        <w:numPr>
          <w:ilvl w:val="0"/>
          <w:numId w:val="4"/>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合同到期后，有权在同等条件下优先续约；</w:t>
      </w:r>
    </w:p>
    <w:p>
      <w:pPr>
        <w:pStyle w:val="Normal"/>
        <w:keepNext w:val="false"/>
        <w:keepLines w:val="false"/>
        <w:pageBreakBefore w:val="fals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该流转土地被依法征收、征用、占用的，乙方应服从，但有权获得</w:t>
      </w:r>
      <w:r>
        <w:rPr>
          <w:rFonts w:eastAsia="方正书宋_GBK" w:cs="方正书宋_GBK" w:ascii="方正书宋_GBK" w:hAnsi="方正书宋_GBK"/>
          <w:sz w:val="22"/>
          <w:szCs w:val="22"/>
        </w:rPr>
        <w:t>_________________</w:t>
      </w:r>
      <w:r>
        <w:rPr>
          <w:rFonts w:ascii="方正书宋_GBK" w:hAnsi="方正书宋_GBK" w:cs="方正书宋_GBK" w:eastAsia="方正书宋_GBK"/>
          <w:sz w:val="22"/>
          <w:szCs w:val="22"/>
        </w:rPr>
        <w:t>补偿。</w:t>
      </w:r>
    </w:p>
    <w:p>
      <w:pPr>
        <w:pStyle w:val="Normal"/>
        <w:keepNext w:val="false"/>
        <w:keepLines w:val="false"/>
        <w:pageBreakBefore w:val="false"/>
        <w:numPr>
          <w:ilvl w:val="0"/>
          <w:numId w:val="1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乙方的义务</w:t>
      </w:r>
    </w:p>
    <w:p>
      <w:pPr>
        <w:pStyle w:val="Normal"/>
        <w:keepNext w:val="false"/>
        <w:keepLines w:val="false"/>
        <w:pageBreakBefore w:val="false"/>
        <w:numPr>
          <w:ilvl w:val="0"/>
          <w:numId w:val="31"/>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按合同约定及时接收该流转土地并向甲方足额支付流转费用；</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本合同到期，应提前一个月告知甲方是否继续流转。不继续流转的，应于合同到期日交回该流转土地；</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配合做好土地经营权流转审查备案工作；</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负责地上设施的维护和维修，合同到期后完整交付；</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为提高土地生产能力而进行设施改建，应征得甲方同意，需报有关部门批准的，按照相关规定办理；</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妥善管理该流转土地上未列入合同的水系、道路、构筑物等设施，如需使用或变动，须征得甲方和发包方同意；</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在法律法规政策和合同约定允许范围内保护和合理利用流转土地，不得破坏农业综合生产能力和农业生态环境，不得撂荒土地、不得用于非农建设、不得擅自改变土地用途、不得给土地造成永久性损害。</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交付时和合同到期后地上附着物及相关设施的处理</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签订本合同并交付土地时，地上附着物及相关设施有</w:t>
      </w:r>
      <w:r>
        <w:rPr>
          <w:rFonts w:eastAsia="方正书宋_GBK" w:cs="方正书宋_GBK" w:ascii="方正书宋_GBK" w:hAnsi="方正书宋_GBK"/>
          <w:sz w:val="22"/>
          <w:szCs w:val="22"/>
        </w:rPr>
        <w:t>：{地上附着物及相关设施列表}。</w:t>
      </w:r>
      <w:r>
        <w:rPr>
          <w:rFonts w:ascii="方正书宋_GBK" w:hAnsi="方正书宋_GBK" w:cs="方正书宋_GBK" w:eastAsia="方正书宋_GBK"/>
          <w:sz w:val="22"/>
          <w:szCs w:val="22"/>
        </w:rPr>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合同到期时，由国家或地方财政直接补助形成的财产按国家和天津市有关规定处理。</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 乙方经营期间利用除财政补助外的资金构建的地上附着物及相关设备设施按下列方式处理</w:t>
      </w:r>
      <w:r>
        <w:rPr>
          <w:rFonts w:eastAsia="方正书宋_GBK" w:cs="方正书宋_GBK" w:ascii="方正书宋_GBK" w:hAnsi="方正书宋_GBK"/>
          <w:sz w:val="22"/>
          <w:szCs w:val="22"/>
        </w:rPr>
        <w:t>：{处理方式}。</w:t>
      </w:r>
      <w:r>
        <w:rPr>
          <w:rFonts w:ascii="方正书宋_GBK" w:hAnsi="方正书宋_GBK" w:cs="方正书宋_GBK" w:eastAsia="方正书宋_GBK"/>
          <w:sz w:val="22"/>
          <w:szCs w:val="22"/>
        </w:rPr>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 合同到期土地恢复原状等事项的处理</w:t>
      </w:r>
      <w:r>
        <w:rPr>
          <w:rFonts w:eastAsia="方正书宋_GBK" w:cs="方正书宋_GBK" w:ascii="方正书宋_GBK" w:hAnsi="方正书宋_GBK"/>
          <w:sz w:val="22"/>
          <w:szCs w:val="22"/>
        </w:rPr>
        <w:t>：{处理方式}。</w:t>
      </w:r>
      <w:r>
        <w:rPr>
          <w:rFonts w:ascii="方正书宋_GBK" w:hAnsi="方正书宋_GBK" w:cs="方正书宋_GBK" w:eastAsia="方正书宋_GBK"/>
          <w:sz w:val="22"/>
          <w:szCs w:val="22"/>
        </w:rPr>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合同变更或解除</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经协商一致，甲乙双方可对本合同进行变更或解除。</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当事人一方中途变更或解除合同的，应提前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{通知天数} 日书面通知对方。</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合同有效期内，因不可抗力导致合同无法继续履行的，当事人可以解除合同；双方应按合同解除日期，结清合同履行期间相关费用。</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当事人一方违约导致合同无法履行的，另一方可以解除合同。</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违约责任</w:t>
      </w:r>
    </w:p>
    <w:p>
      <w:pPr>
        <w:pStyle w:val="Normal"/>
        <w:keepNext w:val="false"/>
        <w:keepLines w:val="false"/>
        <w:pageBreakBefore w:val="false"/>
        <w:numPr>
          <w:ilvl w:val="0"/>
          <w:numId w:val="32"/>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因一方当事人变更或解除合同使另一方遭受损失的，除依法可免除责任的情形外，应向守约方支付违约金 {违约金金额} 元。如果违约金不足以弥补守约方经济损失，违约方应据实赔偿。</w:t>
      </w:r>
    </w:p>
    <w:p>
      <w:pPr>
        <w:pStyle w:val="Normal"/>
        <w:keepNext w:val="false"/>
        <w:keepLines w:val="false"/>
        <w:pageBreakBefore w:val="false"/>
        <w:numPr>
          <w:ilvl w:val="0"/>
          <w:numId w:val="21"/>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甲方逾期交付流转土地，每延迟一天，按流转费用的</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承担违约金。</w:t>
      </w:r>
    </w:p>
    <w:p>
      <w:pPr>
        <w:pStyle w:val="Normal"/>
        <w:keepNext w:val="false"/>
        <w:keepLines w:val="false"/>
        <w:pageBreakBefore w:val="false"/>
        <w:numPr>
          <w:ilvl w:val="0"/>
          <w:numId w:val="6"/>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乙方逾期支付流转费用，每延迟一天，按应支付费用的</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承担违约金。</w:t>
      </w:r>
    </w:p>
    <w:p>
      <w:pPr>
        <w:pStyle w:val="Normal"/>
        <w:keepNext w:val="false"/>
        <w:keepLines w:val="false"/>
        <w:pageBreakBefore w:val="false"/>
        <w:numPr>
          <w:ilvl w:val="0"/>
          <w:numId w:val="6"/>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甲方非法干预乙方生产经营活动，给乙方造成损失的，应予以赔偿。</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纠纷解决方式</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发生纠纷，可以协商解决，也可以采取调解解决。若农户流转土地经营权，可以请求村民委员会（村集体经济组织）、镇（乡、街）人民政府调解；若农户委托村集体经济组织流转土地经营权或村集体经济组织流转机动地、新开垦耕地，可以请求镇（乡、街）人民政府调解。当事人不愿协商、调解或者协商、调解不成的，可以向农村土地承包仲裁机构申请仲裁，也可以直接向人民法院起诉。</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其他约定</w:t>
      </w:r>
    </w:p>
    <w:p>
      <w:pPr>
        <w:pStyle w:val="Normal"/>
        <w:keepNext w:val="false"/>
        <w:keepLines w:val="false"/>
        <w:pageBreakBefore w:val="false"/>
        <w:numPr>
          <w:ilvl w:val="0"/>
          <w:numId w:val="3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同意乙方依法依规</w:t>
      </w:r>
      <w:r>
        <w:rPr>
          <w:rFonts w:ascii="方正书宋_GBK" w:hAnsi="方正书宋_GBK" w:cs="方正书宋_GBK" w:eastAsia="方正书宋_GBK"/>
          <w:kern w:val="0"/>
          <w:sz w:val="22"/>
          <w:szCs w:val="22"/>
        </w:rPr>
        <w:t>开展以下</w:t>
      </w:r>
      <w:r>
        <w:rPr>
          <w:rFonts w:eastAsia="方正书宋_GBK" w:cs="方正书宋_GBK" w:ascii="方正书宋_GBK" w:hAnsi="方正书宋_GBK"/>
          <w:kern w:val="0"/>
          <w:sz w:val="22"/>
          <w:szCs w:val="22"/>
        </w:rPr>
        <w:t>__________</w:t>
      </w:r>
      <w:r>
        <w:rPr>
          <w:rFonts w:ascii="方正书宋_GBK" w:hAnsi="方正书宋_GBK" w:cs="方正书宋_GBK" w:eastAsia="方正书宋_GBK"/>
          <w:kern w:val="0"/>
          <w:sz w:val="22"/>
          <w:szCs w:val="22"/>
        </w:rPr>
        <w:t>事项。</w:t>
      </w:r>
    </w:p>
    <w:p>
      <w:pPr>
        <w:pStyle w:val="Normal"/>
        <w:keepNext w:val="false"/>
        <w:keepLines w:val="false"/>
        <w:pageBreakBefore w:val="false"/>
        <w:numPr>
          <w:ilvl w:val="0"/>
          <w:numId w:val="13"/>
        </w:numPr>
        <w:overflowPunct w:val="true"/>
        <w:autoSpaceDE w:val="true"/>
        <w:bidi w:val="0"/>
        <w:snapToGrid w:val="false"/>
        <w:spacing w:lineRule="exact" w:line="42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改良土壤；</w:t>
      </w:r>
    </w:p>
    <w:p>
      <w:pPr>
        <w:pStyle w:val="Normal"/>
        <w:keepNext w:val="false"/>
        <w:keepLines w:val="false"/>
        <w:pageBreakBefore w:val="false"/>
        <w:overflowPunct w:val="true"/>
        <w:autoSpaceDE w:val="true"/>
        <w:bidi w:val="0"/>
        <w:snapToGrid w:val="false"/>
        <w:spacing w:lineRule="exact" w:line="420"/>
        <w:ind w:start="6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②</w:t>
      </w:r>
      <w:r>
        <w:rPr>
          <w:rFonts w:ascii="方正书宋_GBK" w:hAnsi="方正书宋_GBK" w:cs="方正书宋_GBK" w:eastAsia="方正书宋_GBK"/>
          <w:kern w:val="0"/>
          <w:sz w:val="22"/>
          <w:szCs w:val="22"/>
        </w:rPr>
        <w:t>建设农业生产附属、配套设施；</w:t>
      </w:r>
    </w:p>
    <w:p>
      <w:pPr>
        <w:pStyle w:val="Normal"/>
        <w:keepNext w:val="false"/>
        <w:keepLines w:val="false"/>
        <w:pageBreakBefore w:val="false"/>
        <w:overflowPunct w:val="true"/>
        <w:autoSpaceDE w:val="true"/>
        <w:bidi w:val="0"/>
        <w:snapToGrid w:val="false"/>
        <w:spacing w:lineRule="exact" w:line="420"/>
        <w:ind w:start="6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③</w:t>
      </w:r>
      <w:r>
        <w:rPr>
          <w:rFonts w:ascii="方正书宋_GBK" w:hAnsi="方正书宋_GBK" w:cs="方正书宋_GBK" w:eastAsia="方正书宋_GBK"/>
          <w:kern w:val="0"/>
          <w:sz w:val="22"/>
          <w:szCs w:val="22"/>
        </w:rPr>
        <w:t>以土地经营权融资担保；</w:t>
      </w:r>
    </w:p>
    <w:p>
      <w:pPr>
        <w:pStyle w:val="Normal"/>
        <w:keepNext w:val="false"/>
        <w:keepLines w:val="false"/>
        <w:pageBreakBefore w:val="false"/>
        <w:overflowPunct w:val="true"/>
        <w:autoSpaceDE w:val="true"/>
        <w:bidi w:val="0"/>
        <w:snapToGrid w:val="false"/>
        <w:spacing w:lineRule="exact" w:line="420"/>
        <w:ind w:start="6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④</w:t>
      </w:r>
      <w:r>
        <w:rPr>
          <w:rFonts w:ascii="方正书宋_GBK" w:hAnsi="方正书宋_GBK" w:cs="方正书宋_GBK" w:eastAsia="方正书宋_GBK"/>
          <w:kern w:val="0"/>
          <w:sz w:val="22"/>
          <w:szCs w:val="22"/>
        </w:rPr>
        <w:t>再次流转土地经营权。</w:t>
      </w:r>
    </w:p>
    <w:p>
      <w:pPr>
        <w:pStyle w:val="Normal"/>
        <w:keepNext w:val="false"/>
        <w:keepLines w:val="false"/>
        <w:pageBreakBefore w:val="false"/>
        <w:numPr>
          <w:ilvl w:val="0"/>
          <w:numId w:val="22"/>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耕地地力保护补贴以及其他政策性补贴，按国家有关规定执行。</w:t>
      </w:r>
    </w:p>
    <w:p>
      <w:pPr>
        <w:pStyle w:val="Normal"/>
        <w:keepNext w:val="false"/>
        <w:keepLines w:val="false"/>
        <w:pageBreakBefore w:val="false"/>
        <w:numPr>
          <w:ilvl w:val="0"/>
          <w:numId w:val="10"/>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对整村土地经营权流转或</w:t>
      </w:r>
      <w:r>
        <w:rPr>
          <w:rFonts w:eastAsia="方正书宋_GBK" w:cs="方正书宋_GBK" w:ascii="方正书宋_GBK" w:hAnsi="方正书宋_GBK"/>
          <w:sz w:val="22"/>
          <w:szCs w:val="22"/>
        </w:rPr>
        <w:t>500</w:t>
      </w:r>
      <w:r>
        <w:rPr>
          <w:rFonts w:ascii="方正书宋_GBK" w:hAnsi="方正书宋_GBK" w:cs="方正书宋_GBK" w:eastAsia="方正书宋_GBK"/>
          <w:sz w:val="22"/>
          <w:szCs w:val="22"/>
        </w:rPr>
        <w:t>亩以上土地经营权流转等风险较高的项目，乙方应于本合同签订之日起</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日内向甲方支付</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元作为农村土地经营权流转风险保障金。风险保障金应专户储存，专款专用。对于擅自改变流转土地的农业用途、给土地造成严重损害或者严重破坏土地生态环境的，风险保障金不予退还。</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4.</w:t>
      </w:r>
      <w:r>
        <w:rPr>
          <w:rFonts w:ascii="方正书宋_GBK" w:hAnsi="方正书宋_GBK" w:cs="方正书宋_GBK" w:eastAsia="方正书宋_GBK"/>
          <w:bCs/>
          <w:sz w:val="22"/>
          <w:szCs w:val="22"/>
        </w:rPr>
        <w:t>其他事项：</w:t>
      </w:r>
      <w:r>
        <w:rPr>
          <w:rFonts w:eastAsia="方正书宋_GBK" w:cs="方正书宋_GBK" w:ascii="方正书宋_GBK" w:hAnsi="方正书宋_GBK"/>
          <w:bCs/>
          <w:sz w:val="22"/>
          <w:szCs w:val="22"/>
        </w:rPr>
        <w:t>{其他事项内容}。</w:t>
      </w:r>
      <w:r>
        <w:rPr>
          <w:rFonts w:ascii="方正书宋_GBK" w:hAnsi="方正书宋_GBK" w:cs="方正书宋_GBK" w:eastAsia="方正书宋_GBK"/>
          <w:bCs/>
          <w:sz w:val="22"/>
          <w:szCs w:val="22"/>
        </w:rPr>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kern w:val="0"/>
          <w:sz w:val="22"/>
          <w:szCs w:val="22"/>
        </w:rPr>
        <w:t>本协议一式</w:t>
      </w:r>
      <w:r>
        <w:rPr>
          <w:rFonts w:eastAsia="方正书宋_GBK" w:cs="方正书宋_GBK" w:ascii="方正书宋_GBK" w:hAnsi="方正书宋_GBK"/>
          <w:b/>
          <w:bCs/>
          <w:kern w:val="0"/>
          <w:sz w:val="22"/>
          <w:szCs w:val="22"/>
        </w:rPr>
        <w:t>_______</w:t>
      </w:r>
      <w:r>
        <w:rPr>
          <w:rFonts w:ascii="方正书宋_GBK" w:hAnsi="方正书宋_GBK" w:cs="方正书宋_GBK" w:eastAsia="方正书宋_GBK"/>
          <w:kern w:val="0"/>
          <w:sz w:val="22"/>
          <w:szCs w:val="22"/>
        </w:rPr>
        <w:t>份，双</w:t>
      </w:r>
      <w:r>
        <w:rPr>
          <w:rFonts w:ascii="方正书宋_GBK" w:hAnsi="方正书宋_GBK" w:cs="方正书宋_GBK" w:eastAsia="方正书宋_GBK"/>
          <w:sz w:val="22"/>
          <w:szCs w:val="22"/>
        </w:rPr>
        <w:t>方盖章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签字有效。</w:t>
      </w:r>
      <w:r>
        <w:rPr>
          <w:rFonts w:ascii="方正书宋_GBK" w:hAnsi="方正书宋_GBK" w:cs="方正书宋_GBK" w:eastAsia="方正书宋_GBK"/>
          <w:kern w:val="0"/>
          <w:sz w:val="22"/>
          <w:szCs w:val="22"/>
        </w:rPr>
        <w:t>甲乙双方各执一份。</w:t>
      </w:r>
      <w:r>
        <w:rPr>
          <w:rFonts w:ascii="方正书宋_GBK" w:hAnsi="方正书宋_GBK" w:cs="方正书宋_GBK" w:eastAsia="方正书宋_GBK"/>
          <w:sz w:val="22"/>
          <w:szCs w:val="22"/>
        </w:rPr>
        <w:t>农户流转土地经营权的，</w:t>
      </w:r>
      <w:r>
        <w:rPr>
          <w:rFonts w:ascii="方正书宋_GBK" w:hAnsi="方正书宋_GBK" w:cs="方正书宋_GBK" w:eastAsia="方正书宋_GBK"/>
          <w:kern w:val="0"/>
          <w:sz w:val="22"/>
          <w:szCs w:val="22"/>
        </w:rPr>
        <w:t>发包方和镇（乡、街）农村土地承包管理部门各备案一份；</w:t>
      </w:r>
      <w:r>
        <w:rPr>
          <w:rFonts w:ascii="方正书宋_GBK" w:hAnsi="方正书宋_GBK" w:cs="方正书宋_GBK" w:eastAsia="方正书宋_GBK"/>
          <w:sz w:val="22"/>
          <w:szCs w:val="22"/>
        </w:rPr>
        <w:t>农户委托村集体经济组织流转土地经营权或村集体经济组织流转机动地、新开垦耕地的，</w:t>
      </w:r>
      <w:r>
        <w:rPr>
          <w:rFonts w:ascii="方正书宋_GBK" w:hAnsi="方正书宋_GBK" w:cs="方正书宋_GBK" w:eastAsia="方正书宋_GBK"/>
          <w:kern w:val="0"/>
          <w:sz w:val="22"/>
          <w:szCs w:val="22"/>
        </w:rPr>
        <w:t>镇（乡、街）农村集体资产管理部门备案一份。</w:t>
      </w:r>
      <w:r>
        <w:rPr>
          <w:rFonts w:ascii="方正书宋_GBK" w:hAnsi="方正书宋_GBK" w:cs="方正书宋_GBK" w:eastAsia="方正书宋_GBK"/>
          <w:sz w:val="22"/>
          <w:szCs w:val="22"/>
        </w:rPr>
        <w:t>农户流转土地经营权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农户委托村集体经济组织流转土地经营权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村集体经济组织流转机动地、新开垦耕地通过</w:t>
      </w:r>
      <w:r>
        <w:rPr>
          <w:rFonts w:ascii="方正书宋_GBK" w:hAnsi="方正书宋_GBK" w:cs="方正书宋_GBK" w:eastAsia="方正书宋_GBK"/>
          <w:kern w:val="0"/>
          <w:sz w:val="22"/>
          <w:szCs w:val="22"/>
        </w:rPr>
        <w:t>天津市农村产权流转交易市场公开交易的，天津市农村产权流转交易市场留存一份。</w:t>
      </w:r>
      <w:r>
        <w:rPr>
          <w:rFonts w:ascii="方正书宋_GBK" w:hAnsi="方正书宋_GBK" w:cs="方正书宋_GBK" w:eastAsia="方正书宋_GBK"/>
          <w:sz w:val="22"/>
          <w:szCs w:val="22"/>
        </w:rPr>
        <w:t>经协商，决定</w:t>
      </w:r>
      <w:r>
        <w:rPr>
          <w:rFonts w:eastAsia="方正书宋_GBK" w:cs="方正书宋_GBK" w:ascii="方正书宋_GBK" w:hAnsi="方正书宋_GBK"/>
          <w:b/>
          <w:bCs/>
          <w:sz w:val="22"/>
          <w:szCs w:val="22"/>
        </w:rPr>
        <w:t>________</w:t>
      </w:r>
      <w:r>
        <w:rPr>
          <w:rFonts w:ascii="方正书宋_GBK" w:hAnsi="方正书宋_GBK" w:cs="方正书宋_GBK" w:eastAsia="方正书宋_GBK"/>
          <w:kern w:val="0"/>
          <w:sz w:val="22"/>
          <w:szCs w:val="22"/>
        </w:rPr>
        <w:t>（提交</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不提交）天津市农村产权流转交易市场鉴证。</w:t>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firstLine="442" w:start="120"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甲方（盖章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{签署方} ______</w:t>
      </w:r>
      <w:r>
        <w:rPr>
          <w:rFonts w:eastAsia="方正书宋_GBK" w:cs="方正书宋_GBK" w:ascii="方正书宋_GBK" w:hAnsi="方正书宋_GBK"/>
          <w:color w:val="000000"/>
          <w:kern w:val="0"/>
          <w:sz w:val="22"/>
          <w:szCs w:val="22"/>
          <w:u w:val="single"/>
          <w:lang w:val="zh-TW" w:eastAsia="zh-TW" w:bidi="zh-TW"/>
        </w:rPr>
        <w:t>_年{年份}月</w:t>
      </w:r>
      <w:r>
        <w:rPr>
          <w:rFonts w:ascii="方正书宋_GBK" w:hAnsi="方正书宋_GBK" w:cs="方正书宋_GBK" w:eastAsia="方正书宋_GBK"/>
          <w:color w:val="000000"/>
          <w:kern w:val="0"/>
          <w:sz w:val="22"/>
          <w:szCs w:val="22"/>
          <w:u w:val="single"/>
          <w:lang w:val="zh-TW" w:eastAsia="zh-TW" w:bidi="zh-TW"/>
        </w:rPr>
        <w:t>{</w:t>
      </w:r>
      <w:r>
        <w:rPr>
          <w:rFonts w:eastAsia="方正书宋_GBK" w:cs="方正书宋_GBK" w:ascii="方正书宋_GBK" w:hAnsi="方正书宋_GBK"/>
          <w:bCs/>
          <w:color w:val="000000"/>
          <w:kern w:val="0"/>
          <w:sz w:val="22"/>
          <w:szCs w:val="22"/>
          <w:u w:val="single"/>
          <w:lang w:val="zh-TW" w:eastAsia="zh-TW" w:bidi="zh-TW"/>
        </w:rPr>
        <w:t>月份}</w:t>
      </w:r>
      <w:r>
        <w:rPr>
          <w:rFonts w:ascii="方正书宋_GBK" w:hAnsi="方正书宋_GBK" w:cs="方正书宋_GBK" w:eastAsia="方正书宋_GBK"/>
          <w:bCs/>
          <w:color w:val="000000"/>
          <w:kern w:val="0"/>
          <w:sz w:val="22"/>
          <w:szCs w:val="22"/>
          <w:u w:val="single"/>
          <w:lang w:val="zh-TW" w:eastAsia="zh-TW" w:bidi="zh-TW"/>
        </w:rPr>
        <w:t>日</w:t>
      </w:r>
      <w:r>
        <w:rPr>
          <w:rFonts w:eastAsia="方正书宋_GBK" w:cs="方正书宋_GBK" w:ascii="方正书宋_GBK" w:hAnsi="方正书宋_GBK"/>
          <w:bCs/>
          <w:color w:val="000000"/>
          <w:kern w:val="0"/>
          <w:sz w:val="22"/>
          <w:szCs w:val="22"/>
          <w:u w:val="single"/>
          <w:lang w:val="zh-TW" w:eastAsia="zh-TW" w:bidi="zh-TW"/>
        </w:rPr>
      </w:r>
      <w:r>
        <w:rPr>
          <w:rFonts w:ascii="方正书宋_GBK" w:hAnsi="方正书宋_GBK" w:cs="方正书宋_GBK" w:eastAsia="方正书宋_GBK"/>
          <w:bCs/>
          <w:color w:val="000000"/>
          <w:kern w:val="0"/>
          <w:sz w:val="22"/>
          <w:szCs w:val="22"/>
          <w:u w:val="single"/>
          <w:lang w:val="zh-TW" w:eastAsia="zh-TW" w:bidi="zh-TW"/>
        </w:rPr>
      </w:r>
    </w:p>
    <w:tbl>
      <w:tblPr>
        <w:tblW w:w="8664" w:type="dxa"/>
        <w:jc w:val="center"/>
        <w:tblInd w:w="0" w:type="dxa"/>
        <w:tblLayout w:type="fixed"/>
        <w:tblCellMar>
          <w:top w:w="0" w:type="dxa"/>
          <w:start w:w="108" w:type="dxa"/>
          <w:bottom w:w="0" w:type="dxa"/>
          <w:end w:w="108" w:type="dxa"/>
        </w:tblCellMar>
      </w:tblPr>
      <w:tblGrid>
        <w:gridCol w:w="2736"/>
        <w:gridCol w:w="2195"/>
        <w:gridCol w:w="1284"/>
        <w:gridCol w:w="2449"/>
      </w:tblGrid>
      <w:tr>
        <w:trPr>
          <w:trHeight w:val="907" w:hRule="exac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承包方代表、自然人、法定代表人或主要负责人姓名</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r>
              <w:rPr>
                <w:rFonts w:ascii="方正书宋_GBK" w:hAnsi="方正书宋_GBK" w:cs="方正书宋_GBK" w:eastAsia="方正书宋_GBK"/>
                <w:color w:val="000000"/>
                <w:kern w:val="0"/>
                <w:sz w:val="18"/>
                <w:szCs w:val="18"/>
                <w:lang w:val="zh-TW" w:bidi="zh-TW"/>
              </w:rPr>
              <w:t xml:space="preserve"> （统一社会信用代码）</w:t>
            </w:r>
          </w:p>
        </w:tc>
        <w:tc>
          <w:tcPr>
            <w:tcW w:w="2449"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tcBorders>
            <w:shd w:fill="FFFFFF" w:val="clear"/>
            <w:vAlign w:val="center"/>
          </w:tcPr>
          <w:p>
            <w:pPr>
              <w:pStyle w:val="Normal"/>
              <w:keepNext w:val="false"/>
              <w:keepLines w:val="false"/>
              <w:tabs>
                <w:tab w:val="clear" w:pos="420"/>
                <w:tab w:val="left" w:pos="802" w:leader="none"/>
              </w:tabs>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449"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449"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449"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195"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tabs>
                <w:tab w:val="clear" w:pos="420"/>
                <w:tab w:val="left" w:pos="816" w:leader="none"/>
              </w:tabs>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449"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firstLine="442"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乙方（盖章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 xml:space="preserve">{签名}        </w:t>
      </w:r>
      <w:r>
        <w:rPr>
          <w:rFonts w:eastAsia="方正书宋_GBK" w:cs="方正书宋_GBK" w:ascii="方正书宋_GBK" w:hAnsi="方正书宋_GBK"/>
          <w:color w:val="3F3C4A"/>
          <w:kern w:val="0"/>
          <w:sz w:val="22"/>
          <w:szCs w:val="22"/>
          <w:lang w:val="zh-TW" w:eastAsia="zh-TW" w:bidi="zh-TW"/>
        </w:rPr>
        <w:t xml:space="preserve">    {日期</w:t>
      </w:r>
      <w:r>
        <w:rPr>
          <w:rFonts w:ascii="方正书宋_GBK" w:hAnsi="方正书宋_GBK" w:cs="方正书宋_GBK" w:eastAsia="方正书宋_GBK"/>
          <w:color w:val="3F3C4A"/>
          <w:kern w:val="0"/>
          <w:sz w:val="22"/>
          <w:szCs w:val="22"/>
          <w:lang w:val="zh-TW" w:eastAsia="zh-TW" w:bidi="zh-TW"/>
        </w:rPr>
        <w:t>}</w:t>
      </w:r>
      <w:r>
        <w:rPr>
          <w:rFonts w:eastAsia="方正书宋_GBK" w:cs="方正书宋_GBK" w:ascii="方正书宋_GBK" w:hAnsi="方正书宋_GBK"/>
          <w:color w:val="3F3C4A"/>
          <w:kern w:val="0"/>
          <w:sz w:val="22"/>
          <w:szCs w:val="22"/>
          <w:lang w:val="zh-TW" w:eastAsia="zh-TW" w:bidi="zh-TW"/>
        </w:rPr>
      </w:r>
      <w:r>
        <w:rPr>
          <w:rFonts w:ascii="方正书宋_GBK" w:hAnsi="方正书宋_GBK" w:cs="方正书宋_GBK" w:eastAsia="方正书宋_GBK"/>
          <w:color w:val="3F3C4A"/>
          <w:kern w:val="0"/>
          <w:sz w:val="22"/>
          <w:szCs w:val="22"/>
          <w:lang w:val="zh-TW" w:eastAsia="zh-TW" w:bidi="zh-TW"/>
        </w:rPr>
      </w:r>
      <w:r>
        <w:rPr>
          <w:rFonts w:eastAsia="方正书宋_GBK" w:cs="方正书宋_GBK" w:ascii="方正书宋_GBK" w:hAnsi="方正书宋_GBK"/>
          <w:color w:val="3F3C4A"/>
          <w:kern w:val="0"/>
          <w:sz w:val="22"/>
          <w:szCs w:val="22"/>
          <w:lang w:val="zh-TW" w:eastAsia="zh-TW" w:bidi="zh-TW"/>
        </w:rPr>
      </w:r>
      <w:r>
        <w:rPr>
          <w:rFonts w:ascii="方正书宋_GBK" w:hAnsi="方正书宋_GBK" w:cs="方正书宋_GBK" w:eastAsia="方正书宋_GBK"/>
          <w:color w:val="3F3C4A"/>
          <w:kern w:val="0"/>
          <w:sz w:val="22"/>
          <w:szCs w:val="22"/>
          <w:lang w:val="zh-TW" w:eastAsia="zh-TW" w:bidi="zh-TW"/>
        </w:rPr>
      </w:r>
    </w:p>
    <w:tbl>
      <w:tblPr>
        <w:tblW w:w="8664" w:type="dxa"/>
        <w:jc w:val="center"/>
        <w:tblInd w:w="0" w:type="dxa"/>
        <w:tblLayout w:type="fixed"/>
        <w:tblCellMar>
          <w:top w:w="0" w:type="dxa"/>
          <w:start w:w="108" w:type="dxa"/>
          <w:bottom w:w="0" w:type="dxa"/>
          <w:end w:w="108" w:type="dxa"/>
        </w:tblCellMar>
      </w:tblPr>
      <w:tblGrid>
        <w:gridCol w:w="2736"/>
        <w:gridCol w:w="2195"/>
        <w:gridCol w:w="1272"/>
        <w:gridCol w:w="2461"/>
      </w:tblGrid>
      <w:tr>
        <w:trPr>
          <w:trHeight w:val="907" w:hRule="exac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自然人、法定代表人或主要负责人姓名</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r>
              <w:rPr>
                <w:rFonts w:ascii="方正书宋_GBK" w:hAnsi="方正书宋_GBK" w:cs="方正书宋_GBK" w:eastAsia="方正书宋_GBK"/>
                <w:color w:val="000000"/>
                <w:kern w:val="0"/>
                <w:sz w:val="18"/>
                <w:szCs w:val="18"/>
                <w:lang w:val="zh-TW" w:bidi="zh-TW"/>
              </w:rPr>
              <w:t xml:space="preserve"> （统一社会信用代码）</w:t>
            </w:r>
          </w:p>
        </w:tc>
        <w:tc>
          <w:tcPr>
            <w:tcW w:w="246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tabs>
                <w:tab w:val="clear" w:pos="420"/>
                <w:tab w:val="left" w:pos="802" w:leader="none"/>
              </w:tabs>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46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46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46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195"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tabs>
                <w:tab w:val="clear" w:pos="420"/>
                <w:tab w:val="left" w:pos="816" w:leader="none"/>
              </w:tabs>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46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{备案人姓名}</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{______</w:t>
      </w:r>
      <w:r>
        <w:rPr>
          <w:rFonts w:ascii="方正书宋_GBK" w:hAnsi="方正书宋_GBK" w:cs="方正书宋_GBK" w:eastAsia="方正书宋_GBK"/>
          <w:color w:val="3F3C4A"/>
          <w:kern w:val="0"/>
          <w:sz w:val="22"/>
          <w:szCs w:val="22"/>
          <w:lang w:val="zh-TW" w:eastAsia="zh-TW" w:bidi="zh-TW"/>
        </w:rPr>
        <w:t>_</w:t>
      </w:r>
      <w:r>
        <w:rPr>
          <w:rFonts w:eastAsia="方正书宋_GBK" w:cs="方正书宋_GBK" w:ascii="方正书宋_GBK" w:hAnsi="方正书宋_GBK"/>
          <w:color w:val="3F3C4A"/>
          <w:kern w:val="0"/>
          <w:sz w:val="22"/>
          <w:szCs w:val="22"/>
          <w:lang w:val="zh-TW" w:eastAsia="zh-TW" w:bidi="zh-TW"/>
        </w:rPr>
        <w:t>}年{</w:t>
      </w:r>
      <w:r>
        <w:rPr>
          <w:rFonts w:ascii="方正书宋_GBK" w:hAnsi="方正书宋_GBK" w:cs="方正书宋_GBK" w:eastAsia="方正书宋_GBK"/>
          <w:color w:val="3F3C4A"/>
          <w:kern w:val="0"/>
          <w:sz w:val="22"/>
          <w:szCs w:val="22"/>
          <w:lang w:val="zh-TW" w:eastAsia="zh-TW" w:bidi="zh-TW"/>
        </w:rPr>
        <w:t>_</w:t>
      </w:r>
      <w:r>
        <w:rPr>
          <w:rFonts w:eastAsia="方正书宋_GBK" w:cs="方正书宋_GBK" w:ascii="方正书宋_GBK" w:hAnsi="方正书宋_GBK"/>
          <w:color w:val="3F3C4A"/>
          <w:kern w:val="0"/>
          <w:sz w:val="22"/>
          <w:szCs w:val="22"/>
          <w:lang w:val="zh-TW" w:eastAsia="zh-TW" w:bidi="zh-TW"/>
        </w:rPr>
        <w:t>__}</w:t>
      </w:r>
      <w:r>
        <w:rPr>
          <w:rFonts w:ascii="方正书宋_GBK" w:hAnsi="方正书宋_GBK" w:cs="方正书宋_GBK" w:eastAsia="方正书宋_GBK"/>
          <w:color w:val="3F3C4A"/>
          <w:kern w:val="0"/>
          <w:sz w:val="22"/>
          <w:szCs w:val="22"/>
          <w:lang w:val="zh-TW" w:eastAsia="zh-TW" w:bidi="zh-TW"/>
        </w:rPr>
        <w:t>月{___}日</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{签字/签章}</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{地址}</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{联系电话}</w:t>
      </w:r>
    </w:p>
    <w:p>
      <w:pPr>
        <w:sectPr>
          <w:headerReference w:type="default" r:id="rId2"/>
          <w:footerReference w:type="default" r:id="rId3"/>
          <w:type w:val="nextPage"/>
          <w:pgSz w:w="11906" w:h="16838"/>
          <w:pgMar w:left="1587" w:right="1474" w:gutter="0" w:header="0" w:top="2098" w:footer="1417" w:bottom="1984"/>
          <w:pgNumType w:fmt="decimal"/>
          <w:formProt w:val="false"/>
          <w:textDirection w:val="lrTb"/>
          <w:docGrid w:type="lines" w:linePitch="386" w:charSpace="0"/>
        </w:sect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{年}{月}{</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t>}</w:t>
      </w:r>
      <w:r>
        <w:rPr>
          <w:rFonts w:ascii="方正书宋_GBK" w:hAnsi="方正书宋_GBK" w:cs="方正书宋_GBK" w:eastAsia="方正书宋_GBK"/>
          <w:color w:val="3F3C4A"/>
          <w:kern w:val="0"/>
          <w:sz w:val="22"/>
          <w:szCs w:val="22"/>
          <w:lang w:val="zh-TW" w:eastAsia="zh-TW" w:bidi="zh-TW"/>
        </w:rPr>
      </w:r>
      <w:r>
        <w:rPr>
          <w:rFonts w:eastAsia="方正书宋_GBK" w:cs="方正书宋_GBK" w:ascii="方正书宋_GBK" w:hAnsi="方正书宋_GBK"/>
          <w:color w:val="3F3C4A"/>
          <w:kern w:val="0"/>
          <w:sz w:val="22"/>
          <w:szCs w:val="22"/>
          <w:lang w:val="zh-TW" w:eastAsia="zh-TW" w:bidi="zh-TW"/>
        </w:rPr>
      </w:r>
      <w:r>
        <w:rPr>
          <w:rFonts w:ascii="方正书宋_GBK" w:hAnsi="方正书宋_GBK" w:cs="方正书宋_GBK" w:eastAsia="方正书宋_GBK"/>
          <w:color w:val="3F3C4A"/>
          <w:kern w:val="0"/>
          <w:sz w:val="22"/>
          <w:szCs w:val="22"/>
          <w:lang w:val="zh-TW" w:eastAsia="zh-TW" w:bidi="zh-TW"/>
        </w:rPr>
      </w:r>
      <w:r/>
    </w:p>
    <w:p>
      <w:pPr>
        <w:pStyle w:val="Normal"/>
        <w:keepNext w:val="false"/>
        <w:keepLines w:val="false"/>
        <w:pageBreakBefore w:val="fals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合同附件：</w:t>
      </w:r>
    </w:p>
    <w:p>
      <w:pPr>
        <w:pStyle w:val="Normal"/>
        <w:keepNext w:val="false"/>
        <w:keepLines w:val="false"/>
        <w:pageBreakBefore w:val="false"/>
        <w:overflowPunct w:val="true"/>
        <w:autoSpaceDE w:val="true"/>
        <w:bidi w:val="0"/>
        <w:spacing w:lineRule="exact" w:line="420"/>
        <w:jc w:val="center"/>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Cs/>
          <w:sz w:val="22"/>
          <w:szCs w:val="22"/>
        </w:rPr>
        <w:t>流转土地经营权基本情况表</w:t>
      </w:r>
    </w:p>
    <w:p>
      <w:pPr>
        <w:pStyle w:val="Normal"/>
        <w:keepNext w:val="false"/>
        <w:keepLines w:val="false"/>
        <w:pageBreakBefore w:val="fals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bl>
      <w:tblPr>
        <w:tblW w:w="14174" w:type="dxa"/>
        <w:jc w:val="center"/>
        <w:tblInd w:w="0" w:type="dxa"/>
        <w:tblLayout w:type="fixed"/>
        <w:tblCellMar>
          <w:top w:w="0" w:type="dxa"/>
          <w:start w:w="108" w:type="dxa"/>
          <w:bottom w:w="0" w:type="dxa"/>
          <w:end w:w="108" w:type="dxa"/>
        </w:tblCellMar>
      </w:tblPr>
      <w:tblGrid>
        <w:gridCol w:w="832"/>
        <w:gridCol w:w="2076"/>
        <w:gridCol w:w="2475"/>
        <w:gridCol w:w="1350"/>
        <w:gridCol w:w="1067"/>
        <w:gridCol w:w="1111"/>
        <w:gridCol w:w="1111"/>
        <w:gridCol w:w="1111"/>
        <w:gridCol w:w="1112"/>
        <w:gridCol w:w="1929"/>
      </w:tblGrid>
      <w:tr>
        <w:trPr>
          <w:trHeight w:val="148" w:hRule="atLeast"/>
        </w:trPr>
        <w:tc>
          <w:tcPr>
            <w:tcW w:w="83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20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委托人</w:t>
            </w:r>
          </w:p>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（承包方代表）</w:t>
            </w:r>
          </w:p>
        </w:tc>
        <w:tc>
          <w:tcPr>
            <w:tcW w:w="247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地块名称</w:t>
            </w:r>
          </w:p>
        </w:tc>
        <w:tc>
          <w:tcPr>
            <w:tcW w:w="13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地块编码</w:t>
            </w:r>
          </w:p>
        </w:tc>
        <w:tc>
          <w:tcPr>
            <w:tcW w:w="10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面积</w:t>
            </w:r>
          </w:p>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（亩）</w:t>
            </w:r>
          </w:p>
        </w:tc>
        <w:tc>
          <w:tcPr>
            <w:tcW w:w="4445"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四至界限</w:t>
            </w:r>
          </w:p>
        </w:tc>
        <w:tc>
          <w:tcPr>
            <w:tcW w:w="192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土地承包经营权证或承包合同编号</w:t>
            </w:r>
          </w:p>
        </w:tc>
      </w:tr>
      <w:tr>
        <w:trPr>
          <w:trHeight w:val="361" w:hRule="atLeast"/>
        </w:trPr>
        <w:tc>
          <w:tcPr>
            <w:tcW w:w="83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0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东</w:t>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南</w:t>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西</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北</w:t>
            </w:r>
          </w:p>
        </w:tc>
        <w:tc>
          <w:tcPr>
            <w:tcW w:w="192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14174" w:type="dxa"/>
            <w:gridSpan w:val="10"/>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p>
        </w:tc>
        <w:tc>
          <w:tcPr>
            <w:tcW w:w="1334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农户</w:t>
            </w:r>
            <w:r>
              <w:rPr>
                <w:rFonts w:eastAsia="方正书宋_GBK" w:cs="方正书宋_GBK" w:ascii="方正书宋_GBK" w:hAnsi="方正书宋_GBK"/>
                <w:color w:val="3F3C4A"/>
                <w:kern w:val="0"/>
                <w:sz w:val="18"/>
                <w:szCs w:val="18"/>
                <w:lang w:val="zh-TW" w:eastAsia="zh-TW" w:bidi="zh-TW"/>
              </w:rPr>
              <w:t>_______</w:t>
            </w:r>
            <w:r>
              <w:rPr>
                <w:rFonts w:ascii="方正书宋_GBK" w:hAnsi="方正书宋_GBK" w:cs="方正书宋_GBK" w:eastAsia="方正书宋_GBK"/>
                <w:sz w:val="18"/>
                <w:szCs w:val="18"/>
              </w:rPr>
              <w:t>户、地块</w:t>
            </w:r>
            <w:r>
              <w:rPr>
                <w:rFonts w:eastAsia="方正书宋_GBK" w:cs="方正书宋_GBK" w:ascii="方正书宋_GBK" w:hAnsi="方正书宋_GBK"/>
                <w:color w:val="3F3C4A"/>
                <w:kern w:val="0"/>
                <w:sz w:val="18"/>
                <w:szCs w:val="18"/>
                <w:lang w:val="zh-TW" w:eastAsia="zh-TW" w:bidi="zh-TW"/>
              </w:rPr>
              <w:t>_______</w:t>
            </w:r>
            <w:r>
              <w:rPr>
                <w:rFonts w:ascii="方正书宋_GBK" w:hAnsi="方正书宋_GBK" w:cs="方正书宋_GBK" w:eastAsia="方正书宋_GBK"/>
                <w:sz w:val="18"/>
                <w:szCs w:val="18"/>
              </w:rPr>
              <w:t>块、面积</w:t>
            </w:r>
            <w:r>
              <w:rPr>
                <w:rFonts w:eastAsia="方正书宋_GBK" w:cs="方正书宋_GBK" w:ascii="方正书宋_GBK" w:hAnsi="方正书宋_GBK"/>
                <w:color w:val="3F3C4A"/>
                <w:kern w:val="0"/>
                <w:sz w:val="18"/>
                <w:szCs w:val="18"/>
                <w:lang w:val="zh-TW" w:eastAsia="zh-TW" w:bidi="zh-TW"/>
              </w:rPr>
              <w:t>_______</w:t>
            </w:r>
            <w:r>
              <w:rPr>
                <w:rFonts w:ascii="方正书宋_GBK" w:hAnsi="方正书宋_GBK" w:cs="方正书宋_GBK" w:eastAsia="方正书宋_GBK"/>
                <w:sz w:val="18"/>
                <w:szCs w:val="18"/>
              </w:rPr>
              <w:t>亩。</w:t>
            </w:r>
          </w:p>
        </w:tc>
      </w:tr>
    </w:tbl>
    <w:p>
      <w:pPr>
        <w:sectPr>
          <w:headerReference w:type="default" r:id="rId4"/>
          <w:headerReference w:type="first" r:id="rId5"/>
          <w:footerReference w:type="default" r:id="rId6"/>
          <w:footerReference w:type="first" r:id="rId7"/>
          <w:type w:val="nextPage"/>
          <w:pgSz w:orient="landscape" w:w="16838" w:h="11906"/>
          <w:pgMar w:left="2098" w:right="1984" w:gutter="0" w:header="0" w:top="1587" w:footer="1417" w:bottom="1474"/>
          <w:pgNumType w:fmt="decimal"/>
          <w:formProt w:val="false"/>
          <w:textDirection w:val="lrTb"/>
          <w:docGrid w:type="lines" w:linePitch="384" w:charSpace="0"/>
        </w:sectPr>
      </w:pPr>
      <w:r>
        <w:br w:type="page"/>
      </w:r>
    </w:p>
    <w:p>
      <w:pPr>
        <w:pStyle w:val="Normal"/>
        <w:keepNext w:val="false"/>
        <w:keepLines w:val="false"/>
        <w:pageBreakBefore w:val="fals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sectPr>
      <w:headerReference w:type="default" r:id="rId8"/>
      <w:headerReference w:type="first" r:id="rId9"/>
      <w:footerReference w:type="default" r:id="rId10"/>
      <w:footerReference w:type="first" r:id="rId11"/>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7</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630.6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7</w:t>
                    </w:r>
                    <w:r>
                      <w:rPr>
                        <w:sz w:val="28"/>
                        <w:szCs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90805" cy="205740"/>
              <wp:effectExtent l="0" t="0" r="0" b="0"/>
              <wp:wrapNone/>
              <wp:docPr id="3" name="Frame3"/>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8</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8</w:t>
                    </w:r>
                    <w:r>
                      <w:rPr>
                        <w:sz w:val="28"/>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EnclosedCircle"/>
      <w:suff w:val="nothing"/>
      <w:lvlText w:val="%1　"/>
      <w:lvlJc w:val="start"/>
      <w:pPr>
        <w:tabs>
          <w:tab w:val="num" w:pos="0"/>
        </w:tabs>
        <w:ind w:start="0" w:firstLine="400"/>
      </w:pPr>
    </w:lvl>
  </w:abstractNum>
  <w:abstractNum w:abstractNumId="3">
    <w:lvl w:ilvl="0">
      <w:start w:val="1"/>
      <w:numFmt w:val="decimalEnclosedCircle"/>
      <w:suff w:val="nothing"/>
      <w:lvlText w:val="%1　"/>
      <w:lvlJc w:val="start"/>
      <w:pPr>
        <w:tabs>
          <w:tab w:val="num" w:pos="0"/>
        </w:tabs>
        <w:ind w:start="167" w:firstLine="400"/>
      </w:pPr>
    </w:lvl>
  </w:abstractNum>
  <w:abstractNum w:abstractNumId="4">
    <w:lvl w:ilvl="0">
      <w:start w:val="1"/>
      <w:numFmt w:val="decimalEnclosedCircle"/>
      <w:suff w:val="nothing"/>
      <w:lvlText w:val="%1　"/>
      <w:lvlJc w:val="start"/>
      <w:pPr>
        <w:tabs>
          <w:tab w:val="num" w:pos="0"/>
        </w:tabs>
        <w:ind w:start="0" w:firstLine="400"/>
      </w:pPr>
    </w:lvl>
  </w:abstractNum>
  <w:abstractNum w:abstractNumId="5">
    <w:lvl w:ilvl="0">
      <w:start w:val="1"/>
      <w:numFmt w:val="decimal"/>
      <w:suff w:val="nothing"/>
      <w:lvlText w:val="%1．"/>
      <w:lvlJc w:val="start"/>
      <w:pPr>
        <w:tabs>
          <w:tab w:val="num" w:pos="0"/>
        </w:tabs>
        <w:ind w:start="0" w:firstLine="400"/>
      </w:pPr>
    </w:lvl>
  </w:abstractNum>
  <w:abstractNum w:abstractNumId="6">
    <w:lvl w:ilvl="0">
      <w:start w:val="1"/>
      <w:numFmt w:val="decimal"/>
      <w:suff w:val="nothing"/>
      <w:lvlText w:val="%1．"/>
      <w:lvlJc w:val="start"/>
      <w:pPr>
        <w:tabs>
          <w:tab w:val="num" w:pos="0"/>
        </w:tabs>
        <w:ind w:start="0" w:firstLine="400"/>
      </w:pPr>
    </w:lvl>
  </w:abstractNum>
  <w:abstractNum w:abstractNumId="7">
    <w:lvl w:ilvl="0">
      <w:start w:val="1"/>
      <w:numFmt w:val="chineseCountingThousand"/>
      <w:suff w:val="space"/>
      <w:lvlText w:val="第%1条"/>
      <w:lvlJc w:val="start"/>
      <w:pPr>
        <w:tabs>
          <w:tab w:val="num" w:pos="0"/>
        </w:tabs>
        <w:ind w:start="0" w:hanging="0"/>
      </w:pPr>
      <w:rPr>
        <w:lang w:val="en-US"/>
      </w:rPr>
    </w:lvl>
  </w:abstractNum>
  <w:abstractNum w:abstractNumId="8">
    <w:lvl w:ilvl="0">
      <w:start w:val="1"/>
      <w:numFmt w:val="decimal"/>
      <w:suff w:val="nothing"/>
      <w:lvlText w:val="%1．"/>
      <w:lvlJc w:val="start"/>
      <w:pPr>
        <w:tabs>
          <w:tab w:val="num" w:pos="0"/>
        </w:tabs>
        <w:ind w:start="0" w:firstLine="400"/>
      </w:pPr>
    </w:lvl>
  </w:abstractNum>
  <w:abstractNum w:abstractNumId="9">
    <w:lvl w:ilvl="0">
      <w:start w:val="1"/>
      <w:numFmt w:val="decimalEnclosedCircle"/>
      <w:suff w:val="nothing"/>
      <w:lvlText w:val="%1　"/>
      <w:lvlJc w:val="start"/>
      <w:pPr>
        <w:tabs>
          <w:tab w:val="num" w:pos="0"/>
        </w:tabs>
        <w:ind w:start="1444" w:firstLine="400"/>
      </w:pPr>
      <w:rPr>
        <w:lang w:val="en-US"/>
      </w:rPr>
    </w:lvl>
  </w:abstractNum>
  <w:abstractNum w:abstractNumId="10">
    <w:lvl w:ilvl="0">
      <w:start w:val="1"/>
      <w:numFmt w:val="decimal"/>
      <w:suff w:val="nothing"/>
      <w:lvlText w:val="%1．"/>
      <w:lvlJc w:val="start"/>
      <w:pPr>
        <w:tabs>
          <w:tab w:val="num" w:pos="0"/>
        </w:tabs>
        <w:ind w:start="0" w:firstLine="400"/>
      </w:pPr>
    </w:lvl>
  </w:abstractNum>
  <w:abstractNum w:abstractNumId="11">
    <w:lvl w:ilvl="0">
      <w:start w:val="1"/>
      <w:numFmt w:val="decimal"/>
      <w:suff w:val="nothing"/>
      <w:lvlText w:val="%1．"/>
      <w:lvlJc w:val="start"/>
      <w:pPr>
        <w:tabs>
          <w:tab w:val="num" w:pos="0"/>
        </w:tabs>
        <w:ind w:start="0" w:firstLine="400"/>
      </w:pPr>
    </w:lvl>
  </w:abstractNum>
  <w:abstractNum w:abstractNumId="12">
    <w:lvl w:ilvl="0">
      <w:start w:val="1"/>
      <w:numFmt w:val="decimal"/>
      <w:suff w:val="nothing"/>
      <w:lvlText w:val="%1．"/>
      <w:lvlJc w:val="start"/>
      <w:pPr>
        <w:tabs>
          <w:tab w:val="num" w:pos="0"/>
        </w:tabs>
        <w:ind w:start="0" w:firstLine="400"/>
      </w:pPr>
    </w:lvl>
  </w:abstractNum>
  <w:abstractNum w:abstractNumId="13">
    <w:lvl w:ilvl="0">
      <w:start w:val="2"/>
      <w:numFmt w:val="decimalEnclosedCircle"/>
      <w:lvlText w:val="%1"/>
      <w:lvlJc w:val="start"/>
      <w:pPr>
        <w:tabs>
          <w:tab w:val="num" w:pos="0"/>
        </w:tabs>
        <w:ind w:start="1000" w:hanging="360"/>
      </w:pPr>
      <w:rPr/>
    </w:lvl>
    <w:lvl w:ilvl="1">
      <w:start w:val="1"/>
      <w:numFmt w:val="lowerLetter"/>
      <w:lvlText w:val="%2)"/>
      <w:lvlJc w:val="start"/>
      <w:pPr>
        <w:tabs>
          <w:tab w:val="num" w:pos="0"/>
        </w:tabs>
        <w:ind w:start="1480" w:hanging="420"/>
      </w:pPr>
    </w:lvl>
    <w:lvl w:ilvl="2">
      <w:start w:val="1"/>
      <w:numFmt w:val="lowerRoman"/>
      <w:lvlText w:val="%3."/>
      <w:lvlJc w:val="end"/>
      <w:pPr>
        <w:tabs>
          <w:tab w:val="num" w:pos="0"/>
        </w:tabs>
        <w:ind w:start="1900" w:hanging="420"/>
      </w:pPr>
    </w:lvl>
    <w:lvl w:ilvl="3">
      <w:start w:val="1"/>
      <w:numFmt w:val="decimal"/>
      <w:lvlText w:val="%4."/>
      <w:lvlJc w:val="start"/>
      <w:pPr>
        <w:tabs>
          <w:tab w:val="num" w:pos="0"/>
        </w:tabs>
        <w:ind w:start="2320" w:hanging="420"/>
      </w:pPr>
    </w:lvl>
    <w:lvl w:ilvl="4">
      <w:start w:val="1"/>
      <w:numFmt w:val="lowerLetter"/>
      <w:lvlText w:val="%5)"/>
      <w:lvlJc w:val="start"/>
      <w:pPr>
        <w:tabs>
          <w:tab w:val="num" w:pos="0"/>
        </w:tabs>
        <w:ind w:start="2740" w:hanging="420"/>
      </w:pPr>
    </w:lvl>
    <w:lvl w:ilvl="5">
      <w:start w:val="1"/>
      <w:numFmt w:val="lowerRoman"/>
      <w:lvlText w:val="%6."/>
      <w:lvlJc w:val="end"/>
      <w:pPr>
        <w:tabs>
          <w:tab w:val="num" w:pos="0"/>
        </w:tabs>
        <w:ind w:start="3160" w:hanging="420"/>
      </w:pPr>
    </w:lvl>
    <w:lvl w:ilvl="6">
      <w:start w:val="1"/>
      <w:numFmt w:val="decimal"/>
      <w:lvlText w:val="%7."/>
      <w:lvlJc w:val="start"/>
      <w:pPr>
        <w:tabs>
          <w:tab w:val="num" w:pos="0"/>
        </w:tabs>
        <w:ind w:start="3580" w:hanging="420"/>
      </w:pPr>
    </w:lvl>
    <w:lvl w:ilvl="7">
      <w:start w:val="1"/>
      <w:numFmt w:val="lowerLetter"/>
      <w:lvlText w:val="%8)"/>
      <w:lvlJc w:val="start"/>
      <w:pPr>
        <w:tabs>
          <w:tab w:val="num" w:pos="0"/>
        </w:tabs>
        <w:ind w:start="4000" w:hanging="420"/>
      </w:pPr>
    </w:lvl>
    <w:lvl w:ilvl="8">
      <w:start w:val="1"/>
      <w:numFmt w:val="lowerRoman"/>
      <w:lvlText w:val="%9."/>
      <w:lvlJc w:val="end"/>
      <w:pPr>
        <w:tabs>
          <w:tab w:val="num" w:pos="0"/>
        </w:tabs>
        <w:ind w:start="4420" w:hanging="420"/>
      </w:pPr>
    </w:lvl>
  </w:abstractNum>
  <w:abstractNum w:abstractNumId="14">
    <w:lvl w:ilvl="0">
      <w:start w:val="1"/>
      <w:numFmt w:val="chineseCountingThousand"/>
      <w:suff w:val="space"/>
      <w:lvlText w:val="第%1条"/>
      <w:lvlJc w:val="start"/>
      <w:pPr>
        <w:tabs>
          <w:tab w:val="num" w:pos="0"/>
        </w:tabs>
        <w:ind w:start="0" w:hanging="0"/>
      </w:pPr>
      <w:rPr>
        <w:lang w:val="en-US"/>
      </w:rPr>
    </w:lvl>
  </w:abstractNum>
  <w:abstractNum w:abstractNumId="15">
    <w:lvl w:ilvl="0">
      <w:start w:val="1"/>
      <w:numFmt w:val="decimal"/>
      <w:suff w:val="nothing"/>
      <w:lvlText w:val="%1．"/>
      <w:lvlJc w:val="start"/>
      <w:pPr>
        <w:tabs>
          <w:tab w:val="num" w:pos="0"/>
        </w:tabs>
        <w:ind w:start="0" w:firstLine="400"/>
      </w:pPr>
    </w:lvl>
  </w:abstractNum>
  <w:abstractNum w:abstractNumId="16">
    <w:lvl w:ilvl="0">
      <w:start w:val="1"/>
      <w:numFmt w:val="decimal"/>
      <w:suff w:val="nothing"/>
      <w:lvlText w:val="%1．"/>
      <w:lvlJc w:val="start"/>
      <w:pPr>
        <w:tabs>
          <w:tab w:val="num" w:pos="0"/>
        </w:tabs>
        <w:ind w:start="0" w:firstLine="400"/>
      </w:pPr>
    </w:lvl>
  </w:abstractNum>
  <w:abstractNum w:abstractNumId="17">
    <w:lvl w:ilvl="0">
      <w:start w:val="1"/>
      <w:numFmt w:val="decimal"/>
      <w:suff w:val="nothing"/>
      <w:lvlText w:val="%1．"/>
      <w:lvlJc w:val="start"/>
      <w:pPr>
        <w:tabs>
          <w:tab w:val="num" w:pos="0"/>
        </w:tabs>
        <w:ind w:start="0" w:firstLine="400"/>
      </w:pPr>
    </w:lvl>
  </w:abstractNum>
  <w:abstractNum w:abstractNumId="18">
    <w:lvl w:ilvl="0">
      <w:start w:val="1"/>
      <w:numFmt w:val="decimalEnclosedCircle"/>
      <w:suff w:val="nothing"/>
      <w:lvlText w:val="%1　"/>
      <w:lvlJc w:val="start"/>
      <w:pPr>
        <w:tabs>
          <w:tab w:val="num" w:pos="0"/>
        </w:tabs>
        <w:ind w:start="0" w:firstLine="400"/>
      </w:pPr>
    </w:lvl>
  </w:abstractNum>
  <w:abstractNum w:abstractNumId="19">
    <w:lvl w:ilvl="0">
      <w:start w:val="1"/>
      <w:numFmt w:val="decimal"/>
      <w:suff w:val="nothing"/>
      <w:lvlText w:val="%1．"/>
      <w:lvlJc w:val="start"/>
      <w:pPr>
        <w:tabs>
          <w:tab w:val="num" w:pos="0"/>
        </w:tabs>
        <w:ind w:start="0" w:firstLine="400"/>
      </w:pPr>
    </w:lvl>
  </w:abstractNum>
  <w:abstractNum w:abstractNumId="20">
    <w:lvl w:ilvl="0">
      <w:start w:val="1"/>
      <w:numFmt w:val="decimalEnclosedCircle"/>
      <w:suff w:val="nothing"/>
      <w:lvlText w:val="%1　"/>
      <w:lvlJc w:val="start"/>
      <w:pPr>
        <w:tabs>
          <w:tab w:val="num" w:pos="0"/>
        </w:tabs>
        <w:ind w:start="0" w:firstLine="400"/>
      </w:pPr>
    </w:lvl>
  </w:abstractNum>
  <w:abstractNum w:abstractNumId="21">
    <w:lvl w:ilvl="0">
      <w:start w:val="1"/>
      <w:numFmt w:val="decimal"/>
      <w:suff w:val="nothing"/>
      <w:lvlText w:val="%1．"/>
      <w:lvlJc w:val="start"/>
      <w:pPr>
        <w:tabs>
          <w:tab w:val="num" w:pos="0"/>
        </w:tabs>
        <w:ind w:start="0" w:firstLine="400"/>
      </w:pPr>
    </w:lvl>
  </w:abstractNum>
  <w:abstractNum w:abstractNumId="22">
    <w:lvl w:ilvl="0">
      <w:start w:val="1"/>
      <w:numFmt w:val="decimal"/>
      <w:suff w:val="nothing"/>
      <w:lvlText w:val="%1．"/>
      <w:lvlJc w:val="start"/>
      <w:pPr>
        <w:tabs>
          <w:tab w:val="num" w:pos="0"/>
        </w:tabs>
        <w:ind w:start="0" w:firstLine="4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7"/>
    <w:lvlOverride w:ilvl="0">
      <w:startOverride w:val="1"/>
    </w:lvlOverride>
  </w:num>
  <w:num w:numId="24">
    <w:abstractNumId w:val="5"/>
    <w:lvlOverride w:ilvl="0">
      <w:startOverride w:val="1"/>
    </w:lvlOverride>
  </w:num>
  <w:num w:numId="25">
    <w:abstractNumId w:val="8"/>
    <w:lvlOverride w:ilvl="0">
      <w:startOverride w:val="1"/>
    </w:lvlOverride>
  </w:num>
  <w:num w:numId="26">
    <w:abstractNumId w:val="11"/>
    <w:lvlOverride w:ilvl="0">
      <w:startOverride w:val="1"/>
    </w:lvlOverride>
  </w:num>
  <w:num w:numId="27">
    <w:abstractNumId w:val="2"/>
    <w:lvlOverride w:ilvl="0">
      <w:startOverride w:val="1"/>
    </w:lvlOverride>
  </w:num>
  <w:num w:numId="28">
    <w:abstractNumId w:val="9"/>
    <w:lvlOverride w:ilvl="0">
      <w:startOverride w:val="1"/>
    </w:lvlOverride>
  </w:num>
  <w:num w:numId="29">
    <w:abstractNumId w:val="12"/>
    <w:lvlOverride w:ilvl="0">
      <w:startOverride w:val="1"/>
    </w:lvlOverride>
  </w:num>
  <w:num w:numId="30">
    <w:abstractNumId w:val="4"/>
    <w:lvlOverride w:ilvl="0">
      <w:startOverride w:val="1"/>
    </w:lvlOverride>
  </w:num>
  <w:num w:numId="31">
    <w:abstractNumId w:val="3"/>
    <w:lvlOverride w:ilvl="0">
      <w:startOverride w:val="1"/>
    </w:lvlOverride>
  </w:num>
  <w:num w:numId="32">
    <w:abstractNumId w:val="6"/>
    <w:lvlOverride w:ilvl="0">
      <w:startOverride w:val="1"/>
    </w:lvlOverride>
  </w:num>
  <w:num w:numId="33">
    <w:abstractNumId w:val="10"/>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WW8Num6z0">
    <w:name w:val="WW8Num6z0"/>
    <w:qFormat/>
    <w:rPr>
      <w:lang w:val="en-US"/>
    </w:rPr>
  </w:style>
  <w:style w:type="character" w:styleId="WW8Num8z0">
    <w:name w:val="WW8Num8z0"/>
    <w:qFormat/>
    <w:rPr>
      <w:lang w:val="en-US"/>
    </w:rPr>
  </w:style>
  <w:style w:type="character" w:styleId="WW8Num12z0">
    <w:name w:val="WW8Num12z0"/>
    <w:qFormat/>
    <w:rPr/>
  </w:style>
  <w:style w:type="character" w:styleId="Style12">
    <w:name w:val="默认段落字体"/>
    <w:qFormat/>
    <w:rPr/>
  </w:style>
  <w:style w:type="character" w:styleId="Style13">
    <w:name w:val="页脚 字符"/>
    <w:qFormat/>
    <w:rPr>
      <w:kern w:val="2"/>
      <w:sz w:val="18"/>
      <w:szCs w:val="18"/>
    </w:rPr>
  </w:style>
  <w:style w:type="character" w:styleId="Style14">
    <w:name w:val="批注框文本 字符"/>
    <w:qFormat/>
    <w:rPr>
      <w:kern w:val="2"/>
      <w:sz w:val="18"/>
      <w:szCs w:val="18"/>
    </w:rPr>
  </w:style>
  <w:style w:type="character" w:styleId="Hyperlink">
    <w:name w:val="Hyperlink"/>
    <w:rPr>
      <w:color w:val="333333"/>
      <w:u w:val="none"/>
    </w:rPr>
  </w:style>
  <w:style w:type="character" w:styleId="2Char">
    <w:name w:val="样式2 Char"/>
    <w:qFormat/>
    <w:rPr>
      <w:rFonts w:ascii="黑体" w:hAnsi="黑体" w:eastAsia="黑体"/>
      <w:sz w:val="24"/>
    </w:rPr>
  </w:style>
  <w:style w:type="character" w:styleId="Style15">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Style16">
    <w:name w:val="普通(网站)"/>
    <w:basedOn w:val="Normal"/>
    <w:qFormat/>
    <w:pPr>
      <w:widowControl/>
      <w:spacing w:before="280" w:after="280"/>
      <w:jc w:val="start"/>
    </w:pPr>
    <w:rPr>
      <w:rFonts w:ascii="宋体" w:hAnsi="宋体" w:eastAsia="宋体" w:cs="宋体"/>
      <w:kern w:val="0"/>
      <w:sz w:val="24"/>
      <w:szCs w:val="24"/>
    </w:rPr>
  </w:style>
  <w:style w:type="paragraph" w:styleId="Style17">
    <w:name w:val="纯文本"/>
    <w:basedOn w:val="Normal"/>
    <w:qFormat/>
    <w:pPr/>
    <w:rPr>
      <w:rFonts w:ascii="宋体" w:hAnsi="宋体" w:cs="Courier New"/>
      <w:sz w:val="24"/>
      <w:szCs w:val="21"/>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8">
    <w:name w:val="批注框文本"/>
    <w:basedOn w:val="Normal"/>
    <w:qFormat/>
    <w:pPr/>
    <w:rPr>
      <w:rFonts w:ascii="Times New Roman" w:hAnsi="Times New Roman" w:eastAsia="宋体"/>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2022-02-18T17:33:43Z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