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M19"/>
        <w:spacing w:before="0" w:after="345"/>
        <w:ind w:start="322" w:end="0"/>
        <w:jc w:val="both"/>
        <w:rPr>
          <w:rFonts w:ascii="Times New Roman;Nimbus Roman No9 L" w:hAnsi="Times New Roman;Nimbus Roman No9 L" w:eastAsia="仿宋_GB2312" w:cs="Times New Roman;Nimbus Roman No9 L"/>
          <w:color w:val="000000"/>
          <w:kern w:val="0"/>
          <w:sz w:val="28"/>
          <w:szCs w:val="22"/>
          <w:lang w:val="en-US" w:eastAsia="zh-CN" w:bidi="ar-SA"/>
        </w:rPr>
      </w:pPr>
      <w:r>
        <w:rPr>
          <w:rFonts w:eastAsia="仿宋_GB2312" w:cs="Times New Roman;Nimbus Roman No9 L" w:ascii="Times New Roman;Nimbus Roman No9 L" w:hAnsi="Times New Roman;Nimbus Roman No9 L"/>
          <w:color w:val="000000"/>
          <w:kern w:val="0"/>
          <w:sz w:val="28"/>
          <w:szCs w:val="22"/>
          <w:lang w:val="en-US" w:eastAsia="zh-CN" w:bidi="ar-SA"/>
        </w:rPr>
        <w:t>LF</w:t>
      </w:r>
      <w:r>
        <w:rPr>
          <w:rFonts w:ascii="Times New Roman;Nimbus Roman No9 L" w:hAnsi="Times New Roman;Nimbus Roman No9 L" w:cs="Times New Roman;Nimbus Roman No9 L" w:eastAsia="仿宋_GB2312"/>
          <w:color w:val="000000"/>
          <w:kern w:val="0"/>
          <w:sz w:val="28"/>
          <w:szCs w:val="22"/>
          <w:lang w:val="en-US" w:eastAsia="zh-CN" w:bidi="ar-SA"/>
        </w:rPr>
        <w:t>一</w:t>
      </w:r>
      <w:r>
        <w:rPr>
          <w:rFonts w:eastAsia="仿宋_GB2312" w:cs="Times New Roman;Nimbus Roman No9 L" w:ascii="Times New Roman;Nimbus Roman No9 L" w:hAnsi="Times New Roman;Nimbus Roman No9 L"/>
          <w:color w:val="000000"/>
          <w:kern w:val="0"/>
          <w:sz w:val="28"/>
          <w:szCs w:val="22"/>
          <w:lang w:val="en-US" w:eastAsia="zh-CN" w:bidi="ar-SA"/>
        </w:rPr>
        <w:t>200</w:t>
      </w:r>
      <w:r>
        <w:rPr>
          <w:rFonts w:eastAsia="仿宋_GB2312" w:cs="Times New Roman;Nimbus Roman No9 L" w:ascii="Times New Roman;Nimbus Roman No9 L" w:hAnsi="Times New Roman;Nimbus Roman No9 L"/>
          <w:color w:val="000000"/>
          <w:kern w:val="0"/>
          <w:sz w:val="28"/>
          <w:szCs w:val="22"/>
          <w:lang w:val="en-US" w:eastAsia="zh-CN" w:bidi="ar-SA"/>
        </w:rPr>
        <w:t>6</w:t>
      </w:r>
      <w:r>
        <w:rPr>
          <w:rFonts w:ascii="Times New Roman;Nimbus Roman No9 L" w:hAnsi="Times New Roman;Nimbus Roman No9 L" w:cs="Times New Roman;Nimbus Roman No9 L" w:eastAsia="仿宋_GB2312"/>
          <w:color w:val="000000"/>
          <w:kern w:val="0"/>
          <w:sz w:val="28"/>
          <w:szCs w:val="22"/>
          <w:lang w:val="en-US" w:eastAsia="zh-CN" w:bidi="ar-SA"/>
        </w:rPr>
        <w:t>一</w:t>
      </w:r>
      <w:r>
        <w:rPr>
          <w:rFonts w:eastAsia="仿宋_GB2312" w:cs="Times New Roman;Nimbus Roman No9 L" w:ascii="Times New Roman;Nimbus Roman No9 L" w:hAnsi="Times New Roman;Nimbus Roman No9 L"/>
          <w:color w:val="000000"/>
          <w:kern w:val="0"/>
          <w:sz w:val="28"/>
          <w:szCs w:val="22"/>
          <w:lang w:val="en-US" w:eastAsia="zh-CN" w:bidi="ar-SA"/>
        </w:rPr>
        <w:t>010</w:t>
      </w:r>
      <w:r>
        <w:rPr>
          <w:rFonts w:eastAsia="仿宋_GB2312" w:cs="Times New Roman;Nimbus Roman No9 L" w:ascii="Times New Roman;Nimbus Roman No9 L" w:hAnsi="Times New Roman;Nimbus Roman No9 L"/>
          <w:color w:val="000000"/>
          <w:kern w:val="0"/>
          <w:sz w:val="28"/>
          <w:szCs w:val="22"/>
          <w:lang w:val="en-US" w:eastAsia="zh-CN" w:bidi="ar-SA"/>
        </w:rPr>
        <w:t>2</w:t>
      </w:r>
    </w:p>
    <w:p>
      <w:pPr>
        <w:pStyle w:val="CM20"/>
        <w:spacing w:before="0" w:after="1450"/>
        <w:ind w:start="5552" w:end="0"/>
        <w:jc w:val="both"/>
        <w:rPr>
          <w:rFonts w:ascii="Times New Roman;Nimbus Roman No9 L" w:hAnsi="Times New Roman;Nimbus Roman No9 L" w:eastAsia="仿宋_GB2312" w:cs="Times New Roman;Nimbus Roman No9 L"/>
          <w:color w:val="000000"/>
          <w:kern w:val="0"/>
          <w:sz w:val="28"/>
          <w:szCs w:val="22"/>
          <w:lang w:val="en-US" w:eastAsia="zh-CN" w:bidi="ar-SA"/>
        </w:rPr>
      </w:pPr>
      <w:r>
        <w:rPr>
          <w:rFonts w:eastAsia="仿宋_GB2312" w:cs="Times New Roman;Nimbus Roman No9 L" w:ascii="Times New Roman;Nimbus Roman No9 L" w:hAnsi="Times New Roman;Nimbus Roman No9 L"/>
          <w:color w:val="000000"/>
          <w:kern w:val="0"/>
          <w:sz w:val="28"/>
          <w:szCs w:val="22"/>
          <w:lang w:val="en-US" w:eastAsia="zh-CN" w:bidi="ar-SA"/>
        </w:rPr>
      </w:r>
    </w:p>
    <w:p>
      <w:pPr>
        <w:pStyle w:val="Normal"/>
        <w:jc w:val="start"/>
        <w:rPr>
          <w:rFonts w:ascii="Times New Roman;Nimbus Roman No9 L" w:hAnsi="Times New Roman;Nimbus Roman No9 L" w:eastAsia="仿宋_GB2312" w:cs="Times New Roman;Nimbus Roman No9 L"/>
          <w:color w:val="000000"/>
          <w:kern w:val="0"/>
          <w:sz w:val="24"/>
          <w:szCs w:val="24"/>
          <w:lang w:val="en-US" w:eastAsia="zh-CN" w:bidi="ar-SA"/>
        </w:rPr>
      </w:pPr>
      <w:r>
        <w:rPr>
          <w:rFonts w:eastAsia="仿宋_GB2312" w:cs="Times New Roman;Nimbus Roman No9 L"/>
          <w:color w:val="000000"/>
          <w:kern w:val="0"/>
          <w:sz w:val="24"/>
          <w:szCs w:val="24"/>
          <w:lang w:val="en-US" w:eastAsia="zh-CN" w:bidi="ar-SA"/>
        </w:rPr>
      </w:r>
    </w:p>
    <w:p>
      <w:pPr>
        <w:pStyle w:val="Normal"/>
        <w:jc w:val="start"/>
        <w:rPr>
          <w:sz w:val="24"/>
          <w:szCs w:val="24"/>
        </w:rPr>
      </w:pPr>
      <w:r>
        <w:rPr>
          <w:rFonts w:eastAsia="Times New Roman;Nimbus Roman No9 L"/>
          <w:sz w:val="24"/>
          <w:szCs w:val="24"/>
        </w:rPr>
        <w:t xml:space="preserve"> </w:t>
      </w:r>
    </w:p>
    <w:p>
      <w:pPr>
        <w:pStyle w:val="Normal"/>
        <w:widowControl w:val="false"/>
        <w:jc w:val="center"/>
        <w:rPr>
          <w:rFonts w:ascii="方正小标宋_GBK" w:hAnsi="方正小标宋_GBK" w:eastAsia="方正小标宋_GBK" w:cs="方正小标宋_GBK"/>
          <w:color w:val="000000"/>
          <w:kern w:val="2"/>
          <w:sz w:val="40"/>
          <w:szCs w:val="40"/>
          <w:lang w:val="en-US" w:eastAsia="zh-CN" w:bidi="ar-SA"/>
        </w:rPr>
      </w:pPr>
      <w:r>
        <w:rPr>
          <w:rFonts w:ascii="方正小标宋_GBK" w:hAnsi="方正小标宋_GBK" w:cs="方正小标宋_GBK" w:eastAsia="方正小标宋_GBK"/>
          <w:color w:val="000000"/>
          <w:kern w:val="2"/>
          <w:sz w:val="40"/>
          <w:szCs w:val="40"/>
          <w:lang w:val="en-US" w:eastAsia="zh-CN" w:bidi="ar-SA"/>
        </w:rPr>
        <w:t>粮食订购合同</w:t>
      </w:r>
    </w:p>
    <w:p>
      <w:pPr>
        <w:pStyle w:val="Normal"/>
        <w:spacing w:before="0" w:after="2162"/>
        <w:jc w:val="center"/>
        <w:rPr>
          <w:rFonts w:ascii="方正楷体_GBK" w:hAnsi="方正楷体_GBK" w:eastAsia="方正楷体_GBK" w:cs="方正楷体_GBK"/>
          <w:sz w:val="28"/>
          <w:szCs w:val="28"/>
          <w:lang w:val="en-US" w:eastAsia="zh-CN" w:bidi="ar-SA"/>
        </w:rPr>
      </w:pPr>
      <w:r>
        <w:rPr>
          <w:rFonts w:ascii="方正楷体_GBK" w:hAnsi="方正楷体_GBK" w:cs="方正楷体_GBK" w:eastAsia="方正楷体_GBK"/>
          <w:sz w:val="28"/>
          <w:szCs w:val="28"/>
          <w:lang w:val="en-US" w:eastAsia="zh-CN" w:bidi="ar-SA"/>
        </w:rPr>
        <w:t>（示范文本）</w:t>
      </w:r>
    </w:p>
    <w:p>
      <w:pPr>
        <w:pStyle w:val="CM20"/>
        <w:keepNext w:val="false"/>
        <w:keepLines w:val="false"/>
        <w:pageBreakBefore w:val="false"/>
        <w:widowControl w:val="false"/>
        <w:kinsoku w:val="true"/>
        <w:overflowPunct w:val="true"/>
        <w:autoSpaceDE w:val="false"/>
        <w:bidi w:val="0"/>
        <w:snapToGrid w:val="true"/>
        <w:spacing w:lineRule="atLeast" w:line="631"/>
        <w:ind w:end="1372"/>
        <w:jc w:val="both"/>
        <w:textAlignment w:val="auto"/>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r>
    </w:p>
    <w:p>
      <w:pPr>
        <w:pStyle w:val="Default"/>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r>
    </w:p>
    <w:p>
      <w:pPr>
        <w:pStyle w:val="Default"/>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r>
    </w:p>
    <w:p>
      <w:pPr>
        <w:pStyle w:val="Default"/>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r>
    </w:p>
    <w:p>
      <w:pPr>
        <w:pStyle w:val="Default"/>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r>
    </w:p>
    <w:p>
      <w:pPr>
        <w:pStyle w:val="Default"/>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r>
    </w:p>
    <w:p>
      <w:pPr>
        <w:pStyle w:val="CM21"/>
        <w:spacing w:before="0" w:after="200"/>
        <w:ind w:start="885" w:end="0"/>
        <w:jc w:val="both"/>
        <w:rPr>
          <w:rFonts w:ascii="宋体;方正书宋_GBK" w:hAnsi="宋体;方正书宋_GBK" w:eastAsia="方正楷体_GBK" w:cs="方正楷体_GBK"/>
          <w:kern w:val="2"/>
          <w:sz w:val="40"/>
          <w:szCs w:val="24"/>
          <w:lang w:val="en-US" w:eastAsia="zh-CN" w:bidi="ar-SA"/>
        </w:rPr>
      </w:pPr>
      <w:r>
        <w:rPr>
          <w:rFonts w:eastAsia="方正楷体_GBK" w:cs="方正楷体_GBK" w:ascii="宋体;方正书宋_GBK" w:hAnsi="宋体;方正书宋_GBK"/>
          <w:kern w:val="2"/>
          <w:sz w:val="40"/>
          <w:szCs w:val="24"/>
          <w:lang w:val="en-US" w:eastAsia="zh-CN" w:bidi="ar-SA"/>
        </w:rPr>
      </w:r>
    </w:p>
    <w:p>
      <w:pPr>
        <w:pStyle w:val="CM21"/>
        <w:spacing w:before="0" w:after="200"/>
        <w:ind w:start="885" w:end="0"/>
        <w:jc w:val="both"/>
        <w:rPr>
          <w:rFonts w:ascii="宋体;方正书宋_GBK" w:hAnsi="宋体;方正书宋_GBK"/>
          <w:sz w:val="40"/>
          <w:szCs w:val="24"/>
        </w:rPr>
      </w:pPr>
      <w:r>
        <w:rPr>
          <w:rFonts w:ascii="宋体;方正书宋_GBK" w:hAnsi="宋体;方正书宋_GBK"/>
          <w:sz w:val="40"/>
          <w:szCs w:val="24"/>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eastAsia="楷体_GB2312;楷体" w:cs="宋体;方正书宋_GBK" w:ascii="楷体_GB2312;楷体" w:hAnsi="楷体_GB2312;楷体"/>
          <w:color w:val="000000"/>
          <w:spacing w:val="18"/>
          <w:sz w:val="32"/>
          <w:szCs w:val="32"/>
          <w:lang w:val="en-US" w:eastAsia="zh-CN" w:bidi="ar-SA"/>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eastAsia="楷体_GB2312;楷体" w:cs="宋体;方正书宋_GBK" w:ascii="楷体_GB2312;楷体" w:hAnsi="楷体_GB2312;楷体"/>
          <w:color w:val="000000"/>
          <w:spacing w:val="18"/>
          <w:sz w:val="32"/>
          <w:szCs w:val="32"/>
          <w:lang w:val="en-US" w:eastAsia="zh-CN" w:bidi="ar-SA"/>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eastAsia="楷体_GB2312;楷体" w:cs="宋体;方正书宋_GBK" w:ascii="楷体_GB2312;楷体" w:hAnsi="楷体_GB2312;楷体"/>
          <w:color w:val="000000"/>
          <w:spacing w:val="18"/>
          <w:sz w:val="32"/>
          <w:szCs w:val="32"/>
          <w:lang w:val="en-US" w:eastAsia="zh-CN" w:bidi="ar-SA"/>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eastAsia="楷体_GB2312;楷体" w:cs="宋体;方正书宋_GBK" w:ascii="楷体_GB2312;楷体" w:hAnsi="楷体_GB2312;楷体"/>
          <w:color w:val="000000"/>
          <w:spacing w:val="18"/>
          <w:sz w:val="32"/>
          <w:szCs w:val="32"/>
          <w:lang w:val="en-US" w:eastAsia="zh-CN" w:bidi="ar-SA"/>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eastAsia="楷体_GB2312;楷体" w:cs="宋体;方正书宋_GBK" w:ascii="楷体_GB2312;楷体" w:hAnsi="楷体_GB2312;楷体"/>
          <w:color w:val="000000"/>
          <w:spacing w:val="18"/>
          <w:sz w:val="32"/>
          <w:szCs w:val="32"/>
          <w:lang w:val="en-US" w:eastAsia="zh-CN" w:bidi="ar-SA"/>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楷体_GB2312;楷体" w:eastAsia="楷体_GB2312;楷体"/>
          <w:color w:val="000000"/>
          <w:spacing w:val="18"/>
          <w:sz w:val="32"/>
          <w:szCs w:val="32"/>
          <w:lang w:val="en-US" w:eastAsia="zh-CN" w:bidi="ar-SA"/>
        </w:rPr>
        <w:t xml:space="preserve">                       </w:t>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宋体;方正书宋_GBK" w:eastAsia="楷体_GB2312;楷体"/>
          <w:color w:val="000000"/>
          <w:spacing w:val="18"/>
          <w:sz w:val="32"/>
          <w:szCs w:val="32"/>
          <w:lang w:val="en-US" w:eastAsia="zh-CN" w:bidi="ar-SA"/>
        </w:rPr>
        <w:t>辽宁省工商行政管理局制定</w:t>
      </w:r>
    </w:p>
    <w:p>
      <w:pPr>
        <w:pStyle w:val="Style15"/>
        <w:numPr>
          <w:ilvl w:val="0"/>
          <w:numId w:val="0"/>
        </w:numPr>
        <w:snapToGrid w:val="false"/>
        <w:spacing w:lineRule="exact" w:line="482"/>
        <w:ind w:end="105"/>
        <w:jc w:val="center"/>
        <w:outlineLvl w:val="1"/>
        <w:rPr>
          <w:rFonts w:ascii="楷体_GB2312;楷体" w:hAnsi="楷体_GB2312;楷体" w:eastAsia="楷体_GB2312;楷体" w:cs="宋体;方正书宋_GBK"/>
          <w:color w:val="000000"/>
          <w:sz w:val="32"/>
          <w:szCs w:val="32"/>
          <w:lang w:eastAsia="zh-CN"/>
        </w:rPr>
      </w:pPr>
      <w:r>
        <w:rPr>
          <w:rFonts w:eastAsia="楷体_GB2312;楷体" w:cs="宋体;方正书宋_GBK" w:ascii="楷体_GB2312;楷体" w:hAnsi="楷体_GB2312;楷体"/>
          <w:color w:val="000000"/>
          <w:sz w:val="32"/>
          <w:szCs w:val="32"/>
          <w:lang w:val="en-US" w:eastAsia="zh-CN"/>
        </w:rPr>
        <w:t>2006</w:t>
      </w:r>
      <w:r>
        <w:rPr>
          <w:rFonts w:ascii="楷体_GB2312;楷体" w:hAnsi="楷体_GB2312;楷体" w:cs="宋体;方正书宋_GBK" w:eastAsia="楷体_GB2312;楷体"/>
          <w:color w:val="000000"/>
          <w:sz w:val="32"/>
          <w:szCs w:val="32"/>
          <w:lang w:eastAsia="zh-CN"/>
        </w:rPr>
        <w:t>年</w:t>
      </w:r>
      <w:r>
        <w:rPr>
          <w:rFonts w:eastAsia="楷体_GB2312;楷体" w:cs="宋体;方正书宋_GBK" w:ascii="楷体_GB2312;楷体" w:hAnsi="楷体_GB2312;楷体"/>
          <w:color w:val="000000"/>
          <w:sz w:val="32"/>
          <w:szCs w:val="32"/>
          <w:lang w:val="en-US" w:eastAsia="zh-CN"/>
        </w:rPr>
        <w:t>5</w:t>
      </w:r>
      <w:r>
        <w:rPr>
          <w:rFonts w:ascii="楷体_GB2312;楷体" w:hAnsi="楷体_GB2312;楷体" w:cs="宋体;方正书宋_GBK" w:eastAsia="楷体_GB2312;楷体"/>
          <w:color w:val="000000"/>
          <w:sz w:val="32"/>
          <w:szCs w:val="32"/>
        </w:rPr>
        <w:t>月</w:t>
      </w:r>
      <w:r>
        <w:rPr>
          <w:rFonts w:ascii="楷体_GB2312;楷体" w:hAnsi="楷体_GB2312;楷体" w:cs="宋体;方正书宋_GBK" w:eastAsia="楷体_GB2312;楷体"/>
          <w:color w:val="000000"/>
          <w:sz w:val="32"/>
          <w:szCs w:val="32"/>
          <w:lang w:eastAsia="zh-CN"/>
        </w:rPr>
        <w:t>发布</w:t>
      </w:r>
    </w:p>
    <w:p>
      <w:pPr>
        <w:pStyle w:val="CM19"/>
        <w:spacing w:lineRule="atLeast" w:line="623" w:before="0" w:after="345"/>
        <w:ind w:firstLine="475" w:start="1607" w:end="1232"/>
        <w:jc w:val="both"/>
        <w:rPr>
          <w:rFonts w:ascii="宋体;方正书宋_GBK" w:hAnsi="宋体;方正书宋_GBK" w:eastAsia="楷体_GB2312;楷体" w:cs="宋体;方正书宋_GBK"/>
          <w:color w:val="4E5045"/>
          <w:sz w:val="21"/>
          <w:szCs w:val="24"/>
          <w:lang w:eastAsia="zh-CN"/>
        </w:rPr>
      </w:pPr>
      <w:r>
        <w:rPr>
          <w:rFonts w:eastAsia="楷体_GB2312;楷体" w:cs="宋体;方正书宋_GBK" w:ascii="宋体;方正书宋_GBK" w:hAnsi="宋体;方正书宋_GBK"/>
          <w:color w:val="4E5045"/>
          <w:sz w:val="21"/>
          <w:szCs w:val="24"/>
          <w:lang w:eastAsia="zh-CN"/>
        </w:rPr>
      </w:r>
    </w:p>
    <w:p>
      <w:pPr>
        <w:pStyle w:val="CM19"/>
        <w:keepNext w:val="false"/>
        <w:keepLines w:val="false"/>
        <w:pageBreakBefore w:val="false"/>
        <w:widowControl w:val="false"/>
        <w:kinsoku w:val="true"/>
        <w:overflowPunct w:val="true"/>
        <w:autoSpaceDE w:val="false"/>
        <w:bidi w:val="0"/>
        <w:snapToGrid w:val="true"/>
        <w:spacing w:lineRule="exact" w:line="420"/>
        <w:ind w:end="1230"/>
        <w:jc w:val="center"/>
        <w:textAlignment w:val="auto"/>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粮食订购合同</w:t>
      </w:r>
    </w:p>
    <w:p>
      <w:pPr>
        <w:pStyle w:val="CM19"/>
        <w:keepNext w:val="false"/>
        <w:keepLines w:val="false"/>
        <w:pageBreakBefore w:val="false"/>
        <w:widowControl w:val="false"/>
        <w:kinsoku w:val="true"/>
        <w:overflowPunct w:val="true"/>
        <w:autoSpaceDE w:val="false"/>
        <w:bidi w:val="0"/>
        <w:snapToGrid w:val="true"/>
        <w:spacing w:lineRule="exact" w:line="420"/>
        <w:ind w:firstLine="5500" w:end="123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合同编号：</w:t>
      </w:r>
      <w:r>
        <w:rPr>
          <w:rFonts w:ascii="方正书宋_GBK" w:hAnsi="方正书宋_GBK" w:cs="方正书宋_GBK" w:eastAsia="方正书宋_GBK"/>
          <w:color w:val="000000"/>
          <w:kern w:val="2"/>
          <w:sz w:val="22"/>
          <w:szCs w:val="22"/>
          <w:u w:val="single"/>
          <w:lang w:val="en-US" w:eastAsia="zh-CN" w:bidi="ar-SA"/>
        </w:rPr>
        <w:t>{合同编号}</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认购人（甲方）：</w:t>
      </w:r>
      <w:r>
        <w:rPr>
          <w:rFonts w:ascii="方正书宋_GBK" w:hAnsi="方正书宋_GBK" w:cs="方正书宋_GBK" w:eastAsia="方正书宋_GBK"/>
          <w:color w:val="000000"/>
          <w:kern w:val="2"/>
          <w:sz w:val="22"/>
          <w:szCs w:val="22"/>
          <w:u w:val="single"/>
          <w:lang w:val="en-US" w:eastAsia="zh-CN" w:bidi="ar-SA"/>
        </w:rPr>
        <w:t xml:space="preserve">{认购人名称}           </w:t>
      </w:r>
      <w:r>
        <w:rPr>
          <w:rFonts w:ascii="方正书宋_GBK" w:hAnsi="方正书宋_GBK" w:cs="方正书宋_GBK" w:eastAsia="方正书宋_GBK"/>
          <w:color w:val="000000"/>
          <w:kern w:val="2"/>
          <w:sz w:val="22"/>
          <w:szCs w:val="22"/>
          <w:u w:val="none"/>
          <w:lang w:val="en-US" w:eastAsia="zh-CN" w:bidi="ar-SA"/>
        </w:rPr>
        <w:t xml:space="preserve">   签订地点：{签订地点}</w:t>
      </w:r>
      <w:r>
        <w:rPr>
          <w:rFonts w:ascii="方正书宋_GBK" w:hAnsi="方正书宋_GBK" w:cs="方正书宋_GBK" w:eastAsia="方正书宋_GBK"/>
          <w:color w:val="000000"/>
          <w:kern w:val="2"/>
          <w:sz w:val="22"/>
          <w:szCs w:val="22"/>
          <w:u w:val="singl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出卖人（乙方）：</w:t>
      </w:r>
      <w:r>
        <w:rPr>
          <w:rFonts w:ascii="方正书宋_GBK" w:hAnsi="方正书宋_GBK" w:cs="方正书宋_GBK" w:eastAsia="方正书宋_GBK"/>
          <w:color w:val="000000"/>
          <w:kern w:val="2"/>
          <w:sz w:val="22"/>
          <w:szCs w:val="22"/>
          <w:u w:val="single"/>
          <w:lang w:val="en-US" w:eastAsia="zh-CN" w:bidi="ar-SA"/>
        </w:rPr>
        <w:t xml:space="preserve">{出卖人名称}            </w:t>
      </w:r>
      <w:r>
        <w:rPr>
          <w:rFonts w:ascii="方正书宋_GBK" w:hAnsi="方正书宋_GBK" w:cs="方正书宋_GBK" w:eastAsia="方正书宋_GBK"/>
          <w:color w:val="000000"/>
          <w:kern w:val="2"/>
          <w:sz w:val="22"/>
          <w:szCs w:val="22"/>
          <w:u w:val="none"/>
          <w:lang w:val="en-US" w:eastAsia="zh-CN" w:bidi="ar-SA"/>
        </w:rPr>
        <w:t xml:space="preserve">  签订时间：{年份}年{月份}</w:t>
      </w:r>
      <w:r>
        <w:rPr>
          <w:rFonts w:ascii="方正书宋_GBK" w:hAnsi="方正书宋_GBK" w:cs="方正书宋_GBK" w:eastAsia="方正书宋_GBK"/>
          <w:color w:val="000000"/>
          <w:kern w:val="2"/>
          <w:sz w:val="22"/>
          <w:szCs w:val="22"/>
          <w:u w:val="single"/>
          <w:lang w:val="en-US" w:eastAsia="zh-CN" w:bidi="ar-SA"/>
        </w:rPr>
        <w:t>月{日期}</w:t>
      </w:r>
      <w:r>
        <w:rPr>
          <w:rFonts w:ascii="方正书宋_GBK" w:hAnsi="方正书宋_GBK" w:cs="方正书宋_GBK" w:eastAsia="方正书宋_GBK"/>
          <w:color w:val="000000"/>
          <w:kern w:val="2"/>
          <w:sz w:val="22"/>
          <w:szCs w:val="22"/>
          <w:u w:val="none"/>
          <w:lang w:val="en-US" w:eastAsia="zh-CN" w:bidi="ar-SA"/>
        </w:rPr>
        <w:t>日</w:t>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根据《中华人民共和国合同法》及其他有关法律、法规规定，经甲、乙双方协商一致，订立本合同。</w:t>
      </w:r>
    </w:p>
    <w:p>
      <w:pPr>
        <w:pStyle w:val="Default"/>
        <w:keepNext w:val="false"/>
        <w:keepLines w:val="false"/>
        <w:pageBreakBefore w:val="false"/>
        <w:widowControl w:val="false"/>
        <w:kinsoku w:val="true"/>
        <w:overflowPunct w:val="true"/>
        <w:autoSpaceDE w:val="false"/>
        <w:bidi w:val="0"/>
        <w:snapToGrid w:val="true"/>
        <w:spacing w:lineRule="exact" w:line="420"/>
        <w:textAlignment w:val="auto"/>
        <w:rPr>
          <w:lang w:val="en-US" w:eastAsia="zh-CN"/>
        </w:rPr>
      </w:pPr>
      <w:r>
        <w:rPr>
          <w:rFonts w:ascii="方正书宋_GBK" w:hAnsi="方正书宋_GBK" w:cs="方正书宋_GBK" w:eastAsia="方正书宋_GBK"/>
          <w:color w:val="000000"/>
          <w:kern w:val="2"/>
          <w:sz w:val="22"/>
          <w:szCs w:val="22"/>
          <w:u w:val="none"/>
          <w:lang w:val="en-US" w:eastAsia="zh-CN" w:bidi="ar-SA"/>
        </w:rPr>
        <w:t xml:space="preserve">第一条 </w:t>
      </w:r>
      <w:r>
        <w:rPr>
          <w:rFonts w:ascii="方正书宋_GBK" w:hAnsi="方正书宋_GBK" w:cs="方正书宋_GBK" w:eastAsia="方正书宋_GBK"/>
          <w:color w:val="000000"/>
          <w:kern w:val="2"/>
          <w:sz w:val="22"/>
          <w:szCs w:val="22"/>
          <w:u w:val="none"/>
          <w:lang w:val="en-US" w:eastAsia="zh-CN" w:bidi="ar-SA"/>
        </w:rPr>
        <w:t>{品种}、{等级}、{质量}及{包装}</w:t>
      </w:r>
    </w:p>
    <w:tbl>
      <w:tblPr>
        <w:tblpPr w:vertAnchor="text" w:horzAnchor="page" w:leftFromText="180" w:rightFromText="180" w:tblpX="1096" w:tblpY="389"/>
        <w:tblOverlap w:val="never"/>
        <w:tblW w:w="9973" w:type="dxa"/>
        <w:jc w:val="start"/>
        <w:tblInd w:w="108" w:type="dxa"/>
        <w:tblLayout w:type="fixed"/>
        <w:tblCellMar>
          <w:top w:w="0" w:type="dxa"/>
          <w:start w:w="108" w:type="dxa"/>
          <w:bottom w:w="0" w:type="dxa"/>
          <w:end w:w="108" w:type="dxa"/>
        </w:tblCellMar>
      </w:tblPr>
      <w:tblGrid>
        <w:gridCol w:w="2050"/>
        <w:gridCol w:w="1987"/>
        <w:gridCol w:w="1950"/>
        <w:gridCol w:w="3986"/>
      </w:tblGrid>
      <w:tr>
        <w:trPr/>
        <w:tc>
          <w:tcPr>
            <w:tcW w:w="20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66"/>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名称</w:t>
            </w:r>
          </w:p>
        </w:tc>
        <w:tc>
          <w:tcPr>
            <w:tcW w:w="1987"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9"/>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品种</w:t>
            </w:r>
          </w:p>
        </w:tc>
        <w:tc>
          <w:tcPr>
            <w:tcW w:w="19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66"/>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等级</w:t>
            </w:r>
          </w:p>
        </w:tc>
        <w:tc>
          <w:tcPr>
            <w:tcW w:w="398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质量要求</w:t>
            </w:r>
          </w:p>
        </w:tc>
      </w:tr>
      <w:tr>
        <w:trPr/>
        <w:tc>
          <w:tcPr>
            <w:tcW w:w="20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87"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398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r>
      <w:tr>
        <w:trPr/>
        <w:tc>
          <w:tcPr>
            <w:tcW w:w="20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87"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398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r>
      <w:tr>
        <w:trPr/>
        <w:tc>
          <w:tcPr>
            <w:tcW w:w="20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87"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398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r>
      <w:tr>
        <w:trPr/>
        <w:tc>
          <w:tcPr>
            <w:tcW w:w="20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87"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398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r>
    </w:tbl>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
        <w:rPr>
          <w:rFonts w:ascii="方正书宋_GBK" w:hAnsi="方正书宋_GBK" w:cs="方正书宋_GBK" w:eastAsia="方正书宋_GBK"/>
          <w:color w:val="000000"/>
          <w:kern w:val="2"/>
          <w:sz w:val="22"/>
          <w:szCs w:val="22"/>
          <w:u w:val="none"/>
          <w:lang w:val="en-US" w:eastAsia="zh-CN" w:bidi="ar-SA"/>
        </w:rPr>
        <w:t>粮食的品种、等级、质量按照双方协商确定，或按照样品标准确定（样品由双方妥善保管，甲方验收）</w:t>
      </w:r>
    </w:p>
    <w:p>
      <w:pPr>
        <w:pStyle w:val="CM19"/>
        <w:keepNext w:val="false"/>
        <w:keepLines w:val="false"/>
        <w:pageBreakBefore w:val="false"/>
        <w:widowControl w:val="false"/>
        <w:kinsoku w:val="true"/>
        <w:overflowPunct w:val="true"/>
        <w:autoSpaceDE w:val="false"/>
        <w:bidi w:val="0"/>
        <w:snapToGrid w:val="true"/>
        <w:spacing w:lineRule="exact" w:line="420"/>
        <w:ind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粮食包装</w:t>
      </w:r>
      <w:r>
        <w:rPr>
          <w:rFonts w:ascii="方正书宋_GBK" w:hAnsi="方正书宋_GBK" w:cs="方正书宋_GBK" w:eastAsia="方正书宋_GBK"/>
          <w:color w:val="000000"/>
          <w:kern w:val="2"/>
          <w:sz w:val="22"/>
          <w:szCs w:val="22"/>
          <w:u w:val="none"/>
          <w:lang w:val="en-US" w:eastAsia="zh-CN" w:bidi="ar-SA"/>
        </w:rPr>
        <w:t>由双方协商{包装办法}。</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第二条 {粮食交售日期}、{数量}及{价格}</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80" w:start="0" w:end="0"/>
        <w:textAlignment w:val="auto"/>
        <w:rPr>
          <w:u w:val="none"/>
          <w:lang w:val="en-US" w:eastAsia="zh-CN"/>
        </w:rPr>
      </w:pPr>
      <w:r>
        <w:rPr>
          <w:lang w:val="en-US" w:eastAsia="zh-CN"/>
        </w:rPr>
        <w:t>1.</w:t>
      </w:r>
      <w:r>
        <w:rPr>
          <w:lang w:val="en-US" w:eastAsia="zh-CN"/>
        </w:rPr>
        <w:t>乙方在</w:t>
      </w:r>
      <w:r>
        <w:rPr>
          <w:rFonts w:eastAsia="Arial;Nimbus Roman No9 L"/>
          <w:u w:val="single"/>
          <w:lang w:val="en-US" w:eastAsia="zh-CN"/>
        </w:rPr>
        <w:t xml:space="preserve"> {年份}</w:t>
      </w:r>
      <w:r>
        <w:rPr>
          <w:u w:val="none"/>
          <w:lang w:val="en-US" w:eastAsia="zh-CN"/>
        </w:rPr>
        <w:t xml:space="preserve"> </w:t>
      </w:r>
      <w:r>
        <w:rPr>
          <w:rFonts w:eastAsia="Arial;Nimbus Roman No9 L"/>
          <w:u w:val="single"/>
          <w:lang w:val="en-US" w:eastAsia="zh-CN"/>
        </w:rPr>
        <w:t>年 {月</w:t>
      </w:r>
      <w:r>
        <w:rPr>
          <w:u w:val="none"/>
          <w:lang w:val="en-US" w:eastAsia="zh-CN"/>
        </w:rPr>
        <w:t>份</w:t>
      </w:r>
      <w:r>
        <w:rPr>
          <w:rFonts w:eastAsia="Arial;Nimbus Roman No9 L"/>
          <w:u w:val="single"/>
          <w:lang w:val="en-US" w:eastAsia="zh-CN"/>
        </w:rPr>
        <w:t>} 月 {</w:t>
      </w:r>
      <w:r>
        <w:rPr>
          <w:u w:val="none"/>
          <w:lang w:val="en-US" w:eastAsia="zh-CN"/>
        </w:rPr>
        <w:t>日} 日以前，按照下</w:t>
      </w:r>
      <w:r>
        <w:rPr>
          <w:rFonts w:eastAsia="Arial;Nimbus Roman No9 L"/>
          <w:u w:val="none"/>
          <w:lang w:val="en-US" w:eastAsia="zh-CN"/>
        </w:rPr>
        <w:t xml:space="preserve">列第（ </w:t>
      </w:r>
      <w:r>
        <w:rPr>
          <w:u w:val="none"/>
          <w:lang w:val="en-US" w:eastAsia="zh-CN"/>
        </w:rPr>
        <w:t>{选项} ）项协商价格向甲</w:t>
      </w:r>
      <w:r>
        <w:rPr>
          <w:rFonts w:eastAsia="Arial;Nimbus Roman No9 L"/>
          <w:u w:val="single"/>
          <w:lang w:val="en-US" w:eastAsia="zh-CN"/>
        </w:rPr>
        <w:t>方交售粮食 {</w:t>
      </w:r>
      <w:r>
        <w:rPr>
          <w:u w:val="none"/>
          <w:lang w:val="en-US" w:eastAsia="zh-CN"/>
        </w:rPr>
        <w:t>数量} 公斤。</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80" w:start="0" w:end="0"/>
        <w:textAlignment w:val="auto"/>
        <w:rPr>
          <w:u w:val="none"/>
          <w:lang w:val="en-US" w:eastAsia="zh-CN"/>
        </w:rPr>
      </w:pPr>
      <w:r>
        <w:rPr>
          <w:u w:val="none"/>
          <w:lang w:val="en-US" w:eastAsia="zh-CN"/>
        </w:rPr>
        <w:t>（</w:t>
      </w:r>
      <w:r>
        <w:rPr>
          <w:u w:val="none"/>
          <w:lang w:val="en-US" w:eastAsia="zh-CN"/>
        </w:rPr>
        <w:t>1</w:t>
      </w:r>
      <w:r>
        <w:rPr>
          <w:u w:val="none"/>
          <w:lang w:val="en-US" w:eastAsia="zh-CN"/>
        </w:rPr>
        <w:t>）政府在当年公布的保护价；</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80" w:start="0" w:end="0"/>
        <w:textAlignment w:val="auto"/>
        <w:rPr>
          <w:u w:val="none"/>
          <w:lang w:val="en-US" w:eastAsia="zh-CN"/>
        </w:rPr>
      </w:pPr>
      <w:r>
        <w:rPr>
          <w:u w:val="none"/>
          <w:lang w:val="en-US" w:eastAsia="zh-CN"/>
        </w:rPr>
        <w:t>（</w:t>
      </w:r>
      <w:r>
        <w:rPr>
          <w:u w:val="none"/>
          <w:lang w:val="en-US" w:eastAsia="zh-CN"/>
        </w:rPr>
        <w:t>2</w:t>
      </w:r>
      <w:r>
        <w:rPr>
          <w:u w:val="none"/>
          <w:lang w:val="en-US" w:eastAsia="zh-CN"/>
        </w:rPr>
        <w:t>）在当年公布的政府保护价的基础上加价</w:t>
      </w:r>
      <w:r>
        <w:rPr>
          <w:rFonts w:eastAsia="Arial;Nimbus Roman No9 L"/>
          <w:u w:val="single"/>
          <w:lang w:val="en-US" w:eastAsia="zh-CN"/>
        </w:rPr>
        <w:t xml:space="preserve">       </w:t>
      </w:r>
      <w:r>
        <w:rPr>
          <w:u w:val="none"/>
          <w:lang w:val="en-US" w:eastAsia="zh-CN"/>
        </w:rPr>
        <w:t>{</w:t>
      </w:r>
      <w:r>
        <w:rPr>
          <w:u w:val="none"/>
          <w:lang w:val="en-US" w:eastAsia="zh-CN"/>
        </w:rPr>
        <w:t>加价比例}%；</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80" w:start="0" w:end="0"/>
        <w:textAlignment w:val="auto"/>
        <w:rPr>
          <w:u w:val="none"/>
          <w:lang w:val="en-US" w:eastAsia="zh-CN"/>
        </w:rPr>
      </w:pPr>
      <w:r>
        <w:rPr>
          <w:u w:val="none"/>
          <w:lang w:val="en-US" w:eastAsia="zh-CN"/>
        </w:rPr>
        <w:t>（</w:t>
      </w:r>
      <w:r>
        <w:rPr>
          <w:u w:val="none"/>
          <w:lang w:val="en-US" w:eastAsia="zh-CN"/>
        </w:rPr>
        <w:t>3</w:t>
      </w:r>
      <w:r>
        <w:rPr>
          <w:u w:val="none"/>
          <w:lang w:val="en-US" w:eastAsia="zh-CN"/>
        </w:rPr>
        <w:t>）当期市场价格；</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80" w:start="0" w:end="0"/>
        <w:textAlignment w:val="auto"/>
        <w:rPr>
          <w:u w:val="none"/>
          <w:lang w:val="en-US" w:eastAsia="zh-CN"/>
        </w:rPr>
      </w:pPr>
      <w:r>
        <w:rPr>
          <w:u w:val="none"/>
          <w:lang w:val="en-US" w:eastAsia="zh-CN"/>
        </w:rPr>
        <w:t>（</w:t>
      </w:r>
      <w:r>
        <w:rPr>
          <w:u w:val="none"/>
          <w:lang w:val="en-US" w:eastAsia="zh-CN"/>
        </w:rPr>
        <w:t>4</w:t>
      </w:r>
      <w:r>
        <w:rPr>
          <w:u w:val="none"/>
          <w:lang w:val="en-US" w:eastAsia="zh-CN"/>
        </w:rPr>
        <w:t>）议定价格：</w:t>
      </w:r>
      <w:r>
        <w:rPr>
          <w:rFonts w:eastAsia="Arial;Nimbus Roman No9 L"/>
          <w:u w:val="single"/>
          <w:lang w:val="en-US" w:eastAsia="zh-CN"/>
        </w:rPr>
        <w:t>{价格} 元/公斤。</w:t>
      </w:r>
      <w:r>
        <w:rPr>
          <w:u w:val="none"/>
          <w:lang w:val="en-US" w:eastAsia="zh-CN"/>
        </w:rPr>
      </w:r>
      <w:r>
        <w:rPr>
          <w:u w:val="none"/>
          <w:lang w:val="en-US" w:eastAsia="zh-CN"/>
        </w:rPr>
      </w:r>
      <w:r>
        <w:rPr>
          <w:u w:val="none"/>
          <w:lang w:val="en-US" w:eastAsia="zh-CN"/>
        </w:rPr>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80" w:start="0" w:end="0"/>
        <w:textAlignment w:val="auto"/>
        <w:rPr>
          <w:u w:val="none"/>
          <w:lang w:val="en-US" w:eastAsia="zh-CN"/>
        </w:rPr>
      </w:pPr>
      <w:r>
        <w:rPr>
          <w:lang w:val="en-US" w:eastAsia="zh-CN"/>
        </w:rPr>
        <w:t>2.</w:t>
      </w:r>
      <w:r>
        <w:rPr>
          <w:lang w:val="en-US" w:eastAsia="zh-CN"/>
        </w:rPr>
        <w:t>改变交货日期，应事先通知对方，双方重新达成新的协议后按新的协议执行；如未能达成新的协议，双方应按本合同继续履行。</w:t>
      </w:r>
    </w:p>
    <w:p>
      <w:pPr>
        <w:pStyle w:val="Normal"/>
        <w:keepNext w:val="false"/>
        <w:keepLines w:val="false"/>
        <w:pageBreakBefore w:val="false"/>
        <w:widowControl/>
        <w:numPr>
          <w:ilvl w:val="0"/>
          <w:numId w:val="1"/>
        </w:numPr>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交货方式、验收、结算方式</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交货方式：由乙方按照约定时间送货到</w:t>
      </w:r>
      <w:r>
        <w:rPr>
          <w:rFonts w:ascii="方正书宋_GBK" w:hAnsi="方正书宋_GBK" w:cs="方正书宋_GBK" w:eastAsia="方正书宋_GBK"/>
          <w:color w:val="000000"/>
          <w:kern w:val="2"/>
          <w:sz w:val="22"/>
          <w:szCs w:val="22"/>
          <w:u w:val="single"/>
          <w:lang w:val="en-US" w:eastAsia="zh-CN" w:bidi="ar-SA"/>
        </w:rPr>
        <w:t>{交货地点}粮库（企业）或甲方上门收购</w:t>
      </w:r>
      <w:r>
        <w:rPr>
          <w:rFonts w:ascii="方正书宋_GBK" w:hAnsi="方正书宋_GBK" w:cs="方正书宋_GBK" w:eastAsia="方正书宋_GBK"/>
          <w:color w:val="000000"/>
          <w:kern w:val="2"/>
          <w:sz w:val="22"/>
          <w:szCs w:val="22"/>
          <w:u w:val="none"/>
          <w:lang w:val="en-US" w:eastAsia="zh-CN" w:bidi="ar-SA"/>
        </w:rPr>
        <w:t>，运费由乙方自理。</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验收方式：由甲方指定人员采用常规与仪器验收相结合方法，当场以合同标准{验收内容}。</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结算方式：乙方交售粮食经验收合格后，货款由甲方在</w:t>
      </w:r>
      <w:r>
        <w:rPr>
          <w:rFonts w:ascii="方正书宋_GBK" w:hAnsi="方正书宋_GBK" w:cs="方正书宋_GBK" w:eastAsia="方正书宋_GBK"/>
          <w:color w:val="000000"/>
          <w:kern w:val="2"/>
          <w:sz w:val="22"/>
          <w:szCs w:val="22"/>
          <w:u w:val="single"/>
          <w:lang w:val="en-US" w:eastAsia="zh-CN" w:bidi="ar-SA"/>
        </w:rPr>
        <w:t xml:space="preserve"> {结算日内}</w:t>
      </w:r>
      <w:r>
        <w:rPr>
          <w:rFonts w:ascii="方正书宋_GBK" w:hAnsi="方正书宋_GBK" w:cs="方正书宋_GBK" w:eastAsia="方正书宋_GBK"/>
          <w:color w:val="000000"/>
          <w:kern w:val="2"/>
          <w:sz w:val="22"/>
          <w:szCs w:val="22"/>
          <w:u w:val="none"/>
          <w:lang w:val="en-US" w:eastAsia="zh-CN" w:bidi="ar-SA"/>
        </w:rPr>
        <w:t xml:space="preserve"> 内以现金或</w:t>
      </w:r>
      <w:r>
        <w:rPr>
          <w:rFonts w:ascii="方正书宋_GBK" w:hAnsi="方正书宋_GBK" w:cs="方正书宋_GBK" w:eastAsia="方正书宋_GBK"/>
          <w:color w:val="000000"/>
          <w:kern w:val="2"/>
          <w:sz w:val="22"/>
          <w:szCs w:val="22"/>
          <w:u w:val="single"/>
          <w:lang w:val="en-US" w:eastAsia="zh-CN" w:bidi="ar-SA"/>
        </w:rPr>
        <w:t xml:space="preserve"> {支付方式} 方</w:t>
      </w:r>
      <w:r>
        <w:rPr>
          <w:rFonts w:ascii="方正书宋_GBK" w:hAnsi="方正书宋_GBK" w:cs="方正书宋_GBK" w:eastAsia="方正书宋_GBK"/>
          <w:color w:val="000000"/>
          <w:kern w:val="2"/>
          <w:sz w:val="22"/>
          <w:szCs w:val="22"/>
          <w:u w:val="none"/>
          <w:lang w:val="en-US" w:eastAsia="zh-CN" w:bidi="ar-SA"/>
        </w:rPr>
        <w:t>式支付给乙方，甲方不得欠款或代扣各种税费。</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第四条 违约责任</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甲方在合同履行中退货的，应偿付乙方退货部分货款总值</w:t>
      </w:r>
      <w:r>
        <w:rPr>
          <w:rFonts w:ascii="方正书宋_GBK" w:hAnsi="方正书宋_GBK" w:cs="方正书宋_GBK" w:eastAsia="方正书宋_GBK"/>
          <w:color w:val="000000"/>
          <w:kern w:val="2"/>
          <w:sz w:val="22"/>
          <w:szCs w:val="22"/>
          <w:u w:val="single"/>
          <w:lang w:val="en-US" w:eastAsia="zh-CN" w:bidi="ar-SA"/>
        </w:rPr>
        <w:t>{违约金比例}（</w:t>
      </w:r>
      <w:r>
        <w:rPr>
          <w:rFonts w:ascii="方正书宋_GBK" w:hAnsi="方正书宋_GBK" w:cs="方正书宋_GBK" w:eastAsia="方正书宋_GBK"/>
          <w:color w:val="000000"/>
          <w:kern w:val="2"/>
          <w:sz w:val="22"/>
          <w:szCs w:val="22"/>
          <w:u w:val="none"/>
          <w:lang w:val="en-US" w:eastAsia="zh-CN" w:bidi="ar-SA"/>
        </w:rPr>
        <w:t>5</w:t>
      </w:r>
      <w:r>
        <w:rPr>
          <w:rFonts w:eastAsia="方正书宋_GBK" w:cs="方正书宋_GBK" w:ascii="方正书宋_GBK" w:hAnsi="方正书宋_GBK"/>
          <w:color w:val="000000"/>
          <w:kern w:val="2"/>
          <w:sz w:val="22"/>
          <w:szCs w:val="22"/>
          <w:u w:val="none"/>
          <w:lang w:val="en-US" w:eastAsia="zh-CN" w:bidi="ar-SA"/>
        </w:rPr>
        <w:t>%--25%）</w:t>
      </w:r>
      <w:r>
        <w:rPr>
          <w:rFonts w:ascii="方正书宋_GBK" w:hAnsi="方正书宋_GBK" w:cs="方正书宋_GBK" w:eastAsia="方正书宋_GBK"/>
          <w:color w:val="000000"/>
          <w:kern w:val="2"/>
          <w:sz w:val="22"/>
          <w:szCs w:val="22"/>
          <w:u w:val="none"/>
          <w:lang w:val="en-US" w:eastAsia="zh-CN" w:bidi="ar-SA"/>
        </w:rPr>
        <w:t>的违约金。</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甲方无故拒收或少收粮食的，应向乙方偿付拒收或少收粮食总值</w:t>
      </w:r>
      <w:r>
        <w:rPr>
          <w:rFonts w:ascii="方正书宋_GBK" w:hAnsi="方正书宋_GBK" w:cs="方正书宋_GBK" w:eastAsia="方正书宋_GBK"/>
          <w:color w:val="000000"/>
          <w:kern w:val="2"/>
          <w:sz w:val="22"/>
          <w:szCs w:val="22"/>
          <w:u w:val="single"/>
          <w:lang w:val="en-US" w:eastAsia="zh-CN" w:bidi="ar-SA"/>
        </w:rPr>
        <w:t>{违约金比例}（5</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-25%）违</w:t>
      </w:r>
      <w:r>
        <w:rPr>
          <w:rFonts w:ascii="方正书宋_GBK" w:hAnsi="方正书宋_GBK" w:cs="方正书宋_GBK" w:eastAsia="方正书宋_GBK"/>
          <w:color w:val="000000"/>
          <w:kern w:val="2"/>
          <w:sz w:val="22"/>
          <w:szCs w:val="22"/>
          <w:u w:val="none"/>
          <w:lang w:val="en-US" w:eastAsia="zh-CN" w:bidi="ar-SA"/>
        </w:rPr>
        <w:t>约金。</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甲方在收购粮食时压级、压价或以多称少的，应双倍偿付克扣部分的价款。</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甲方未按合同约定的期限付款的，应按银行有关延期付款的规定，向乙方支付延期付款的违约金。</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乙方拒交或少交粮食，按少交数量价值</w:t>
      </w:r>
      <w:r>
        <w:rPr>
          <w:rFonts w:ascii="方正书宋_GBK" w:hAnsi="方正书宋_GBK" w:cs="方正书宋_GBK" w:eastAsia="方正书宋_GBK"/>
          <w:color w:val="000000"/>
          <w:kern w:val="2"/>
          <w:sz w:val="22"/>
          <w:szCs w:val="22"/>
          <w:u w:val="single"/>
          <w:lang w:val="en-US" w:eastAsia="zh-CN" w:bidi="ar-SA"/>
        </w:rPr>
        <w:t>{{违约金比例</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}（2%-2</w:t>
      </w:r>
      <w:r>
        <w:rPr>
          <w:rFonts w:ascii="方正书宋_GBK" w:hAnsi="方正书宋_GBK" w:cs="方正书宋_GBK" w:eastAsia="方正书宋_GBK"/>
          <w:color w:val="000000"/>
          <w:kern w:val="2"/>
          <w:sz w:val="22"/>
          <w:szCs w:val="22"/>
          <w:u w:val="none"/>
          <w:lang w:val="en-US" w:eastAsia="zh-CN" w:bidi="ar-SA"/>
        </w:rPr>
        <w:t>0%）{{违约金}}。</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乙方在交售粮食掺杂作假，以次充好的，甲方有权拒收，乙方应向甲方支付</w:t>
      </w:r>
      <w:r>
        <w:rPr>
          <w:rFonts w:ascii="方正书宋_GBK" w:hAnsi="方正书宋_GBK" w:cs="方正书宋_GBK" w:eastAsia="方正书宋_GBK"/>
          <w:color w:val="000000"/>
          <w:kern w:val="2"/>
          <w:sz w:val="22"/>
          <w:szCs w:val="22"/>
          <w:u w:val="single"/>
          <w:lang w:val="en-US" w:eastAsia="zh-CN" w:bidi="ar-SA"/>
        </w:rPr>
        <w:t xml:space="preserve"> {违约金</w:t>
      </w:r>
      <w:r>
        <w:rPr>
          <w:rFonts w:ascii="方正书宋_GBK" w:hAnsi="方正书宋_GBK" w:cs="方正书宋_GBK" w:eastAsia="方正书宋_GBK"/>
          <w:color w:val="000000"/>
          <w:kern w:val="2"/>
          <w:sz w:val="22"/>
          <w:szCs w:val="22"/>
          <w:u w:val="none"/>
          <w:lang w:val="en-US" w:eastAsia="zh-CN" w:bidi="ar-SA"/>
        </w:rPr>
        <w:t>比</w:t>
      </w:r>
      <w:r>
        <w:rPr>
          <w:rFonts w:eastAsia="方正书宋_GBK" w:cs="方正书宋_GBK" w:ascii="方正书宋_GBK" w:hAnsi="方正书宋_GBK"/>
          <w:color w:val="000000"/>
          <w:kern w:val="2"/>
          <w:sz w:val="22"/>
          <w:szCs w:val="22"/>
          <w:u w:val="none"/>
          <w:lang w:val="en-US" w:eastAsia="zh-CN" w:bidi="ar-SA"/>
        </w:rPr>
        <w:t>例} 的违约</w:t>
      </w:r>
      <w:r>
        <w:rPr>
          <w:rFonts w:ascii="方正书宋_GBK" w:hAnsi="方正书宋_GBK" w:cs="方正书宋_GBK" w:eastAsia="方正书宋_GBK"/>
          <w:color w:val="000000"/>
          <w:kern w:val="2"/>
          <w:sz w:val="22"/>
          <w:szCs w:val="22"/>
          <w:u w:val="none"/>
          <w:lang w:val="en-US" w:eastAsia="zh-CN" w:bidi="ar-SA"/>
        </w:rPr>
        <w:t>金。</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第五条 合同的变更与解除</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甲、乙双方的任何一方由于不可抗力的原因不能履行或不能完全履行合同时，应尽快向对方通报理由，在提供相应证明后，可根据情况部分或全部免予承担违约责任，乙方如果由于不可抗力造成产品质量不符合约定的，不承担违约责任。</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粮食因气候影响早熟或晚熟的，交货日期经双方协商，可适当提前或推迟。</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甲、乙双方中任何一方要求变更或解除合同时，应及时书面通知对方，双方未达成协议前，本合同继续有效。双方达成变更或解除合同的，应签署书面协议。</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第六条 {合同争议的解决方式}</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合同在履行过程中发生的争议，由双方当事人协商解决，协商不成的，按下列第</w:t>
      </w:r>
      <w:r>
        <w:rPr>
          <w:rFonts w:ascii="方正书宋_GBK" w:hAnsi="方正书宋_GBK" w:cs="方正书宋_GBK" w:eastAsia="方正书宋_GBK"/>
          <w:color w:val="000000"/>
          <w:kern w:val="2"/>
          <w:sz w:val="22"/>
          <w:szCs w:val="22"/>
          <w:u w:val="single"/>
          <w:lang w:val="en-US" w:eastAsia="zh-CN" w:bidi="ar-SA"/>
        </w:rPr>
        <w:t xml:space="preserve"> {选择方式}</w:t>
      </w:r>
      <w:r>
        <w:rPr>
          <w:rFonts w:ascii="方正书宋_GBK" w:hAnsi="方正书宋_GBK" w:cs="方正书宋_GBK" w:eastAsia="方正书宋_GBK"/>
          <w:color w:val="000000"/>
          <w:kern w:val="2"/>
          <w:sz w:val="22"/>
          <w:szCs w:val="22"/>
          <w:u w:val="none"/>
          <w:lang w:val="en-US" w:eastAsia="zh-CN" w:bidi="ar-SA"/>
        </w:rPr>
        <w:t xml:space="preserve"> 种方式解决：</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提交</w:t>
      </w:r>
      <w:r>
        <w:rPr>
          <w:rFonts w:ascii="方正书宋_GBK" w:hAnsi="方正书宋_GBK" w:cs="方正书宋_GBK" w:eastAsia="方正书宋_GBK"/>
          <w:color w:val="000000"/>
          <w:kern w:val="2"/>
          <w:sz w:val="22"/>
          <w:szCs w:val="22"/>
          <w:u w:val="single"/>
          <w:lang w:val="en-US" w:eastAsia="zh-CN" w:bidi="ar-SA"/>
        </w:rPr>
        <w:t>{处理方式}仲裁委员会仲裁；</w:t>
      </w:r>
      <w:r>
        <w:rPr>
          <w:rFonts w:ascii="方正书宋_GBK" w:hAnsi="方正书宋_GBK" w:cs="方正书宋_GBK" w:eastAsia="方正书宋_GBK"/>
          <w:color w:val="000000"/>
          <w:kern w:val="2"/>
          <w:sz w:val="22"/>
          <w:szCs w:val="22"/>
          <w:u w:val="none"/>
          <w:lang w:val="en-US" w:eastAsia="zh-CN" w:bidi="ar-SA"/>
        </w:rPr>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2.依法</w:t>
      </w:r>
      <w:r>
        <w:rPr>
          <w:rFonts w:eastAsia="方正书宋_GBK" w:cs="方正书宋_GBK" w:ascii="方正书宋_GBK" w:hAnsi="方正书宋_GBK"/>
          <w:color w:val="000000"/>
          <w:kern w:val="2"/>
          <w:sz w:val="22"/>
          <w:szCs w:val="22"/>
          <w:u w:val="none"/>
          <w:lang w:val="en-US" w:eastAsia="zh-CN" w:bidi="ar-SA"/>
        </w:rPr>
        <w:t>向人</w:t>
      </w:r>
      <w:r>
        <w:rPr>
          <w:rFonts w:ascii="方正书宋_GBK" w:hAnsi="方正书宋_GBK" w:cs="方正书宋_GBK" w:eastAsia="方正书宋_GBK"/>
          <w:color w:val="000000"/>
          <w:kern w:val="2"/>
          <w:sz w:val="22"/>
          <w:szCs w:val="22"/>
          <w:u w:val="none"/>
          <w:lang w:val="en-US" w:eastAsia="zh-CN" w:bidi="ar-SA"/>
        </w:rPr>
        <w:t>民法院起诉。</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第七条 </w:t>
      </w:r>
      <w:r>
        <w:rPr>
          <w:rFonts w:ascii="方正书宋_GBK" w:hAnsi="方正书宋_GBK" w:cs="方正书宋_GBK" w:eastAsia="方正书宋_GBK"/>
          <w:color w:val="000000"/>
          <w:kern w:val="2"/>
          <w:sz w:val="22"/>
          <w:szCs w:val="22"/>
          <w:u w:val="none"/>
          <w:lang w:val="en-US" w:eastAsia="zh-CN" w:bidi="ar-SA"/>
        </w:rPr>
        <w:t>本合同 {生效</w:t>
      </w:r>
      <w:r>
        <w:rPr>
          <w:rFonts w:ascii="方正书宋_GBK" w:hAnsi="方正书宋_GBK" w:cs="方正书宋_GBK" w:eastAsia="方正书宋_GBK"/>
          <w:color w:val="000000"/>
          <w:kern w:val="2"/>
          <w:sz w:val="22"/>
          <w:szCs w:val="22"/>
          <w:u w:val="single"/>
          <w:lang w:val="en-US" w:eastAsia="zh-CN" w:bidi="ar-SA"/>
        </w:rPr>
        <w:t>条件} 生效。</w:t>
      </w:r>
      <w:r>
        <w:rPr>
          <w:rFonts w:ascii="方正书宋_GBK" w:hAnsi="方正书宋_GBK" w:cs="方正书宋_GBK" w:eastAsia="方正书宋_GBK"/>
          <w:color w:val="000000"/>
          <w:kern w:val="2"/>
          <w:sz w:val="22"/>
          <w:szCs w:val="22"/>
          <w:u w:val="none"/>
          <w:lang w:val="en-US" w:eastAsia="zh-CN" w:bidi="ar-SA"/>
        </w:rPr>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第八条 其它约定事项：{其它约定事项内容}</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single"/>
          <w:lang w:val="en-US" w:eastAsia="zh-CN" w:bidi="ar-SA"/>
        </w:rPr>
        <w:t xml:space="preserve">                                                                                            </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第九条 本合同一式二份，双方各执一份</w:t>
      </w:r>
    </w:p>
    <w:tbl>
      <w:tblPr>
        <w:tblW w:w="9875" w:type="dxa"/>
        <w:jc w:val="start"/>
        <w:tblInd w:w="0" w:type="dxa"/>
        <w:tblLayout w:type="fixed"/>
        <w:tblCellMar>
          <w:top w:w="0" w:type="dxa"/>
          <w:start w:w="108" w:type="dxa"/>
          <w:bottom w:w="0" w:type="dxa"/>
          <w:end w:w="108" w:type="dxa"/>
        </w:tblCellMar>
      </w:tblPr>
      <w:tblGrid>
        <w:gridCol w:w="5100"/>
        <w:gridCol w:w="4775"/>
      </w:tblGrid>
      <w:tr>
        <w:trPr/>
        <w:tc>
          <w:tcPr>
            <w:tcW w:w="510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订购人（甲方）签章：</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负责人：</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居民身份证号码：</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住所：</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联系电话：</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477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出卖人（乙方）：</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居民身份证号码：</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住所：</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联系电话：</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p>
            <w:pPr>
              <w:pStyle w:val="Normal"/>
              <w:keepNext w:val="false"/>
              <w:keepLines w:val="false"/>
              <w:widowControl/>
              <w:numPr>
                <w:ilvl w:val="0"/>
                <w:numId w:val="0"/>
              </w:numPr>
              <w:kinsoku w:val="true"/>
              <w:overflowPunct w:val="true"/>
              <w:autoSpaceDE w:val="true"/>
              <w:bidi w:val="0"/>
              <w:snapToGrid w:val="false"/>
              <w:spacing w:lineRule="exact" w:line="420"/>
              <w:ind w:firstLine="2640" w:start="0" w:end="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年   月   日</w:t>
            </w:r>
          </w:p>
        </w:tc>
      </w:tr>
    </w:tbl>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numPr>
          <w:ilvl w:val="0"/>
          <w:numId w:val="0"/>
        </w:numPr>
        <w:ind w:hanging="0" w:start="0"/>
        <w:jc w:val="start"/>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p>
    <w:sectPr>
      <w:type w:val="nextPage"/>
      <w:pgSz w:w="11906" w:h="16838"/>
      <w:pgMar w:left="900" w:right="900" w:gutter="0" w:header="0" w:top="1400" w:footer="0" w:bottom="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Nimbus Roman No9 L"/>
    <w:charset w:val="00" w:characterSet="windows-1252"/>
    <w:family w:val="roman"/>
    <w:pitch w:val="default"/>
  </w:font>
  <w:font w:name="Liberation Sans">
    <w:altName w:val="Arial"/>
    <w:charset w:val="01" w:characterSet="utf-8"/>
    <w:family w:val="swiss"/>
    <w:pitch w:val="variable"/>
  </w:font>
  <w:font w:name="宋体">
    <w:altName w:val="方正书宋_GBK"/>
    <w:charset w:val="00" w:characterSet="windows-1252"/>
    <w:family w:val="auto"/>
    <w:pitch w:val="default"/>
  </w:font>
  <w:font w:name="Arial Unicode MS">
    <w:altName w:val="Nimbus Roman No9 L"/>
    <w:charset w:val="00" w:characterSet="windows-1252"/>
    <w:family w:val="swiss"/>
    <w:pitch w:val="default"/>
  </w:font>
  <w:font w:name="Arial">
    <w:altName w:val="Nimbus Roman No9 L"/>
    <w:charset w:val="00" w:characterSet="windows-1252"/>
    <w:family w:val="swiss"/>
    <w:pitch w:val="default"/>
  </w:font>
  <w:font w:name="方正小标宋_GBK">
    <w:charset w:val="86"/>
    <w:family w:val="auto"/>
    <w:pitch w:val="default"/>
  </w:font>
  <w:font w:name="方正楷体_GBK">
    <w:charset w:val="86"/>
    <w:family w:val="auto"/>
    <w:pitch w:val="default"/>
  </w:font>
  <w:font w:name="宋体">
    <w:altName w:val="方正书宋_GBK"/>
    <w:charset w:val="86"/>
    <w:family w:val="auto"/>
    <w:pitch w:val="default"/>
  </w:font>
  <w:font w:name="楷体_GB2312">
    <w:altName w:val="楷体"/>
    <w:charset w:val="00" w:characterSet="windows-1252"/>
    <w:family w:val="auto"/>
    <w:pitch w:val="default"/>
  </w:font>
  <w:font w:name="方正书宋_GBK">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chineseCountingThousand"/>
      <w:suff w:val="space"/>
      <w:lvlText w:val="第%1条"/>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Times New Roman;Nimbus Roman No9 L" w:hAnsi="Times New Roman;Nimbus Roman No9 L" w:eastAsia="宋体;方正书宋_GBK" w:cs="Times New Roman;Nimbus Roman No9 L"/>
      <w:color w:val="auto"/>
      <w:kern w:val="2"/>
      <w:sz w:val="21"/>
      <w:szCs w:val="24"/>
      <w:lang w:val="en-US" w:eastAsia="zh-CN" w:bidi="hi-IN"/>
    </w:rPr>
  </w:style>
  <w:style w:type="character" w:styleId="WW8Num1z0">
    <w:name w:val="WW8Num1z0"/>
    <w:qFormat/>
    <w:rPr/>
  </w:style>
  <w:style w:type="character" w:styleId="Style14">
    <w:name w:val="默认段落字体"/>
    <w:qFormat/>
    <w:rPr>
      <w:sz w:val="24"/>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纯文本"/>
    <w:basedOn w:val="Normal"/>
    <w:qFormat/>
    <w:pPr/>
    <w:rPr>
      <w:rFonts w:ascii="宋体;方正书宋_GBK" w:hAnsi="宋体;方正书宋_GBK" w:eastAsia="宋体;方正书宋_GBK" w:cs="Courier New;DejaVu Sans"/>
      <w:sz w:val="21"/>
      <w:szCs w:val="21"/>
    </w:rPr>
  </w:style>
  <w:style w:type="paragraph" w:styleId="Style16">
    <w:name w:val="普通(网站)"/>
    <w:basedOn w:val="Normal"/>
    <w:qFormat/>
    <w:pPr>
      <w:widowControl/>
      <w:spacing w:lineRule="auto" w:line="360" w:before="100" w:after="100"/>
      <w:jc w:val="start"/>
    </w:pPr>
    <w:rPr>
      <w:rFonts w:ascii="Arial Unicode MS;Nimbus Roman No9 L" w:hAnsi="Arial Unicode MS;Nimbus Roman No9 L" w:eastAsia="Arial Unicode MS;Nimbus Roman No9 L" w:cs="Arial Unicode MS;Nimbus Roman No9 L"/>
      <w:color w:val="000000"/>
      <w:kern w:val="0"/>
      <w:sz w:val="18"/>
    </w:rPr>
  </w:style>
  <w:style w:type="paragraph" w:styleId="Default">
    <w:name w:val="Default"/>
    <w:qFormat/>
    <w:pPr>
      <w:widowControl w:val="false"/>
      <w:autoSpaceDE w:val="false"/>
      <w:bidi w:val="0"/>
    </w:pPr>
    <w:rPr>
      <w:rFonts w:ascii="Arial;Nimbus Roman No9 L" w:hAnsi="Arial;Nimbus Roman No9 L" w:eastAsia="宋体;方正书宋_GBK" w:cs="Arial;Nimbus Roman No9 L"/>
      <w:color w:val="000000"/>
      <w:sz w:val="24"/>
      <w:szCs w:val="24"/>
      <w:lang w:val="en-US" w:eastAsia="zh-CN" w:bidi="hi-IN"/>
    </w:rPr>
  </w:style>
  <w:style w:type="paragraph" w:styleId="CM10">
    <w:name w:val="CM10"/>
    <w:basedOn w:val="Default"/>
    <w:next w:val="Default"/>
    <w:qFormat/>
    <w:pPr/>
    <w:rPr>
      <w:sz w:val="24"/>
      <w:szCs w:val="24"/>
    </w:rPr>
  </w:style>
  <w:style w:type="paragraph" w:styleId="CM7">
    <w:name w:val="CM7"/>
    <w:basedOn w:val="Default"/>
    <w:next w:val="Default"/>
    <w:qFormat/>
    <w:pPr>
      <w:spacing w:lineRule="atLeast" w:line="646"/>
    </w:pPr>
    <w:rPr>
      <w:sz w:val="24"/>
      <w:szCs w:val="24"/>
    </w:rPr>
  </w:style>
  <w:style w:type="paragraph" w:styleId="CM27">
    <w:name w:val="CM27"/>
    <w:basedOn w:val="Default"/>
    <w:next w:val="Default"/>
    <w:qFormat/>
    <w:pPr/>
    <w:rPr>
      <w:sz w:val="24"/>
      <w:szCs w:val="24"/>
    </w:rPr>
  </w:style>
  <w:style w:type="paragraph" w:styleId="CM24">
    <w:name w:val="CM24"/>
    <w:basedOn w:val="Default"/>
    <w:next w:val="Default"/>
    <w:qFormat/>
    <w:pPr/>
    <w:rPr>
      <w:sz w:val="24"/>
      <w:szCs w:val="24"/>
    </w:rPr>
  </w:style>
  <w:style w:type="paragraph" w:styleId="CM23">
    <w:name w:val="CM23"/>
    <w:basedOn w:val="Default"/>
    <w:next w:val="Default"/>
    <w:qFormat/>
    <w:pPr/>
    <w:rPr>
      <w:sz w:val="24"/>
      <w:szCs w:val="24"/>
    </w:rPr>
  </w:style>
  <w:style w:type="paragraph" w:styleId="CM26">
    <w:name w:val="CM26"/>
    <w:basedOn w:val="Default"/>
    <w:next w:val="Default"/>
    <w:qFormat/>
    <w:pPr/>
    <w:rPr>
      <w:sz w:val="24"/>
      <w:szCs w:val="24"/>
    </w:rPr>
  </w:style>
  <w:style w:type="paragraph" w:styleId="CM28">
    <w:name w:val="CM28"/>
    <w:basedOn w:val="Default"/>
    <w:next w:val="Default"/>
    <w:qFormat/>
    <w:pPr/>
    <w:rPr>
      <w:sz w:val="24"/>
      <w:szCs w:val="24"/>
    </w:rPr>
  </w:style>
  <w:style w:type="paragraph" w:styleId="CM8">
    <w:name w:val="CM8"/>
    <w:basedOn w:val="Default"/>
    <w:next w:val="Default"/>
    <w:qFormat/>
    <w:pPr/>
    <w:rPr>
      <w:sz w:val="24"/>
      <w:szCs w:val="24"/>
    </w:rPr>
  </w:style>
  <w:style w:type="paragraph" w:styleId="CM30">
    <w:name w:val="CM30"/>
    <w:basedOn w:val="Default"/>
    <w:next w:val="Default"/>
    <w:qFormat/>
    <w:pPr/>
    <w:rPr>
      <w:sz w:val="24"/>
      <w:szCs w:val="24"/>
    </w:rPr>
  </w:style>
  <w:style w:type="paragraph" w:styleId="CM9">
    <w:name w:val="CM9"/>
    <w:basedOn w:val="Default"/>
    <w:next w:val="Default"/>
    <w:qFormat/>
    <w:pPr/>
    <w:rPr>
      <w:sz w:val="24"/>
      <w:szCs w:val="24"/>
    </w:rPr>
  </w:style>
  <w:style w:type="paragraph" w:styleId="CM18">
    <w:name w:val="CM18"/>
    <w:basedOn w:val="Default"/>
    <w:next w:val="Default"/>
    <w:qFormat/>
    <w:pPr/>
    <w:rPr>
      <w:sz w:val="24"/>
      <w:szCs w:val="24"/>
    </w:rPr>
  </w:style>
  <w:style w:type="paragraph" w:styleId="CM2">
    <w:name w:val="CM2"/>
    <w:basedOn w:val="Default"/>
    <w:next w:val="Default"/>
    <w:qFormat/>
    <w:pPr/>
    <w:rPr>
      <w:sz w:val="24"/>
      <w:szCs w:val="24"/>
    </w:rPr>
  </w:style>
  <w:style w:type="paragraph" w:styleId="CM21">
    <w:name w:val="CM21"/>
    <w:basedOn w:val="Default"/>
    <w:next w:val="Default"/>
    <w:qFormat/>
    <w:pPr/>
    <w:rPr>
      <w:sz w:val="24"/>
      <w:szCs w:val="24"/>
    </w:rPr>
  </w:style>
  <w:style w:type="paragraph" w:styleId="CM1">
    <w:name w:val="CM1"/>
    <w:basedOn w:val="Default"/>
    <w:next w:val="Default"/>
    <w:qFormat/>
    <w:pPr/>
    <w:rPr>
      <w:sz w:val="24"/>
      <w:szCs w:val="24"/>
    </w:rPr>
  </w:style>
  <w:style w:type="paragraph" w:styleId="CM12">
    <w:name w:val="CM12"/>
    <w:basedOn w:val="Default"/>
    <w:next w:val="Default"/>
    <w:qFormat/>
    <w:pPr/>
    <w:rPr>
      <w:sz w:val="24"/>
      <w:szCs w:val="24"/>
    </w:rPr>
  </w:style>
  <w:style w:type="paragraph" w:styleId="CM25">
    <w:name w:val="CM25"/>
    <w:basedOn w:val="Default"/>
    <w:next w:val="Default"/>
    <w:qFormat/>
    <w:pPr/>
    <w:rPr>
      <w:sz w:val="24"/>
      <w:szCs w:val="24"/>
    </w:rPr>
  </w:style>
  <w:style w:type="paragraph" w:styleId="CM6">
    <w:name w:val="CM6"/>
    <w:basedOn w:val="Default"/>
    <w:next w:val="Default"/>
    <w:qFormat/>
    <w:pPr/>
    <w:rPr>
      <w:sz w:val="24"/>
      <w:szCs w:val="24"/>
    </w:rPr>
  </w:style>
  <w:style w:type="paragraph" w:styleId="CM17">
    <w:name w:val="CM17"/>
    <w:basedOn w:val="Default"/>
    <w:next w:val="Default"/>
    <w:qFormat/>
    <w:pPr/>
    <w:rPr>
      <w:sz w:val="24"/>
      <w:szCs w:val="24"/>
    </w:rPr>
  </w:style>
  <w:style w:type="paragraph" w:styleId="CM13">
    <w:name w:val="CM13"/>
    <w:basedOn w:val="Default"/>
    <w:next w:val="Default"/>
    <w:qFormat/>
    <w:pPr>
      <w:spacing w:lineRule="atLeast" w:line="448"/>
    </w:pPr>
    <w:rPr>
      <w:sz w:val="24"/>
      <w:szCs w:val="24"/>
    </w:rPr>
  </w:style>
  <w:style w:type="paragraph" w:styleId="CM5">
    <w:name w:val="CM5"/>
    <w:basedOn w:val="Default"/>
    <w:next w:val="Default"/>
    <w:qFormat/>
    <w:pPr/>
    <w:rPr>
      <w:sz w:val="24"/>
      <w:szCs w:val="24"/>
    </w:rPr>
  </w:style>
  <w:style w:type="paragraph" w:styleId="CM22">
    <w:name w:val="CM22"/>
    <w:basedOn w:val="Default"/>
    <w:next w:val="Default"/>
    <w:qFormat/>
    <w:pPr/>
    <w:rPr>
      <w:sz w:val="24"/>
      <w:szCs w:val="24"/>
    </w:rPr>
  </w:style>
  <w:style w:type="paragraph" w:styleId="CM14">
    <w:name w:val="CM14"/>
    <w:basedOn w:val="Default"/>
    <w:next w:val="Default"/>
    <w:qFormat/>
    <w:pPr>
      <w:spacing w:lineRule="atLeast" w:line="451"/>
    </w:pPr>
    <w:rPr>
      <w:sz w:val="24"/>
      <w:szCs w:val="24"/>
    </w:rPr>
  </w:style>
  <w:style w:type="paragraph" w:styleId="CM15">
    <w:name w:val="CM15"/>
    <w:basedOn w:val="Default"/>
    <w:next w:val="Default"/>
    <w:qFormat/>
    <w:pPr/>
    <w:rPr>
      <w:sz w:val="24"/>
      <w:szCs w:val="24"/>
    </w:rPr>
  </w:style>
  <w:style w:type="paragraph" w:styleId="CM16">
    <w:name w:val="CM16"/>
    <w:basedOn w:val="Default"/>
    <w:next w:val="Default"/>
    <w:qFormat/>
    <w:pPr/>
    <w:rPr>
      <w:sz w:val="24"/>
      <w:szCs w:val="24"/>
    </w:rPr>
  </w:style>
  <w:style w:type="paragraph" w:styleId="CM4">
    <w:name w:val="CM4"/>
    <w:basedOn w:val="Default"/>
    <w:next w:val="Default"/>
    <w:qFormat/>
    <w:pPr>
      <w:spacing w:lineRule="atLeast" w:line="631"/>
    </w:pPr>
    <w:rPr>
      <w:sz w:val="24"/>
      <w:szCs w:val="24"/>
    </w:rPr>
  </w:style>
  <w:style w:type="paragraph" w:styleId="CM20">
    <w:name w:val="CM20"/>
    <w:basedOn w:val="Default"/>
    <w:next w:val="Default"/>
    <w:qFormat/>
    <w:pPr/>
    <w:rPr>
      <w:sz w:val="24"/>
      <w:szCs w:val="24"/>
    </w:rPr>
  </w:style>
  <w:style w:type="paragraph" w:styleId="CM11">
    <w:name w:val="CM11"/>
    <w:basedOn w:val="Default"/>
    <w:next w:val="Default"/>
    <w:qFormat/>
    <w:pPr/>
    <w:rPr>
      <w:sz w:val="24"/>
      <w:szCs w:val="24"/>
    </w:rPr>
  </w:style>
  <w:style w:type="paragraph" w:styleId="CM3">
    <w:name w:val="CM3"/>
    <w:basedOn w:val="Default"/>
    <w:next w:val="Default"/>
    <w:qFormat/>
    <w:pPr/>
    <w:rPr>
      <w:sz w:val="24"/>
      <w:szCs w:val="24"/>
    </w:rPr>
  </w:style>
  <w:style w:type="paragraph" w:styleId="CM29">
    <w:name w:val="CM29"/>
    <w:basedOn w:val="Default"/>
    <w:next w:val="Default"/>
    <w:qFormat/>
    <w:pPr/>
    <w:rPr>
      <w:sz w:val="24"/>
      <w:szCs w:val="24"/>
    </w:rPr>
  </w:style>
  <w:style w:type="paragraph" w:styleId="CM19">
    <w:name w:val="CM19"/>
    <w:basedOn w:val="Default"/>
    <w:next w:val="Default"/>
    <w:qFormat/>
    <w:pPr/>
    <w:rPr>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3840</TotalTime>
  <Application>LibreOffice/25.2.2.2$MacOSX_AARCH64 LibreOffice_project/7370d4be9e3cf6031a51beef54ff3bda878e3fac</Application>
  <AppVersion>15.0000</AppVersion>
  <Pages>3</Pages>
  <Words>1122</Words>
  <Characters>1168</Characters>
  <CharactersWithSpaces>1685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2022-01-20T06:44:34Z</dcterms:created>
  <dc:creator>jih</dc:creator>
  <dc:description/>
  <dc:language>zh-CN</dc:language>
  <cp:lastModifiedBy>jih</cp:lastModifiedBy>
  <dcterms:modified xsi:type="dcterms:W3CDTF">2022-01-19T21:27:23Z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