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 xml:space="preserve">JF-2009-004 </w:t>
      </w:r>
      <w:r>
        <w:rPr>
          <w:szCs w:val="21"/>
        </w:rPr>
        <w:t xml:space="preserve">                               </w:t>
      </w:r>
      <w:r>
        <w:rPr>
          <w:szCs w:val="21"/>
        </w:rPr>
        <w:t>合同编号：{合同编号}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天津市农机具买卖合同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根据《{法律名称}》、《{法律名称}》及其他有关法律、行政法规的规定，双方当事人在平等、自愿、公开、诚实信用的基础上就{交易内容}事宜达成协议如下：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第一条 所购农机具基本情况 单位：{单位} 元/{计量单位}</w:t>
      </w: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6634" w:type="dxa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1037"/>
        <w:gridCol w:w="623"/>
        <w:gridCol w:w="829"/>
        <w:gridCol w:w="928"/>
        <w:gridCol w:w="840"/>
        <w:gridCol w:w="719"/>
        <w:gridCol w:w="829"/>
        <w:gridCol w:w="829"/>
      </w:tblGrid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农机具名称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合计（大写）</w:t>
            </w:r>
          </w:p>
        </w:tc>
        <w:tc>
          <w:tcPr>
            <w:tcW w:w="5597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第二条  质量标准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{质量标准}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每件农机具应符合《产品质量法》，达到《使用说明书》中明示的执行标准，或不低于样品同等质量。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  交货</w:t>
      </w:r>
      <w:r>
        <w:rPr>
          <w:rFonts w:ascii="方正书宋_GBK" w:hAnsi="方正书宋_GBK" w:cs="方正书宋_GBK" w:eastAsia="方正书宋_GBK"/>
          <w:sz w:val="22"/>
          <w:szCs w:val="22"/>
        </w:rPr>
        <w:t>：交货方式为（□{交货方式}   □{取货方式}）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交货时间：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{交货时间}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交货地点：{交货地点}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  验收：</w:t>
      </w:r>
      <w:r>
        <w:rPr>
          <w:rFonts w:ascii="方正书宋_GBK" w:hAnsi="方正书宋_GBK" w:cs="方正书宋_GBK" w:eastAsia="方正书宋_GBK"/>
          <w:sz w:val="22"/>
          <w:szCs w:val="22"/>
        </w:rPr>
        <w:t>对于农机具产品的规格型号、数量、材质等与约定不符或有其他质量问题的，买受人异议期为出卖人交货后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{异议期限} 日内，异议经核实，出卖人应无条件补足或换货。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{选择方式}      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（一）签定合同时，买受人支付（定金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{金额}元（定</w:t>
      </w:r>
      <w:r>
        <w:rPr>
          <w:rFonts w:ascii="方正书宋_GBK" w:hAnsi="方正书宋_GBK" w:cs="方正书宋_GBK" w:eastAsia="方正书宋_GBK"/>
          <w:sz w:val="22"/>
          <w:szCs w:val="22"/>
        </w:rPr>
        <w:t>金不得超过总价款20%</w:t>
      </w:r>
      <w:r>
        <w:rPr>
          <w:rFonts w:eastAsia="方正书宋_GBK" w:cs="方正书宋_GBK" w:ascii="方正书宋_GBK" w:hAnsi="方正书宋_GBK"/>
          <w:sz w:val="22"/>
          <w:szCs w:val="22"/>
        </w:rPr>
        <w:t>），货</w:t>
      </w:r>
      <w:r>
        <w:rPr>
          <w:rFonts w:ascii="方正书宋_GBK" w:hAnsi="方正书宋_GBK" w:cs="方正书宋_GBK" w:eastAsia="方正书宋_GBK"/>
          <w:sz w:val="22"/>
          <w:szCs w:val="22"/>
        </w:rPr>
        <w:t>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{内容}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 违约责任：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（一）出卖人违约责任：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、农机具产品经专业机构检测不符合国家标准或合同约定质量标准的，出卖人应无条件换、退货，或赔偿买受人由此受到的损失。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、出卖人迟延交货的，每日应向买受人支付迟延部分价款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{迟延违约</w:t>
      </w:r>
      <w:r>
        <w:rPr>
          <w:rFonts w:eastAsia="方正书宋_GBK" w:cs="方正书宋_GBK" w:ascii="方正书宋_GBK" w:hAnsi="方正书宋_GBK"/>
          <w:sz w:val="22"/>
          <w:szCs w:val="22"/>
        </w:rPr>
        <w:t>金</w:t>
      </w:r>
      <w:r>
        <w:rPr>
          <w:rFonts w:ascii="方正书宋_GBK" w:hAnsi="方正书宋_GBK" w:cs="方正书宋_GBK" w:eastAsia="方正书宋_GBK"/>
          <w:sz w:val="22"/>
          <w:szCs w:val="22"/>
        </w:rPr>
        <w:t>比例}%的违约金；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迟延交货{迟延天</w:t>
      </w:r>
      <w:r>
        <w:rPr>
          <w:rFonts w:ascii="方正书宋_GBK" w:hAnsi="方正书宋_GBK" w:cs="方正书宋_GBK" w:eastAsia="方正书宋_GBK"/>
          <w:sz w:val="22"/>
          <w:szCs w:val="22"/>
        </w:rPr>
        <w:t>数}日的，除支付违约金外，买受人还有权解除合同，出卖人已收取定金、预付款或价款应全部返还，但买受人在不收取违约金的情况下，有权要求出卖人双倍返还定金。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（二）买受人违约责任：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、买受人迟延提货的，每日应向出卖人支付迟延部分价款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{违约金比例</w:t>
      </w:r>
      <w:r>
        <w:rPr>
          <w:rFonts w:eastAsia="方正书宋_GBK" w:cs="方正书宋_GBK" w:ascii="方正书宋_GBK" w:hAnsi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  <w:t>%的违约金；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、买受人无正当理由单方解除合同的，应赔偿由此给出卖人造成的损失，已支付定金的无权要求返还。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本合同发生争议，当事人协商解决，也可申请消费者协会调解；协商或调解不成的，按下列第 {争议解决方式} 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仲裁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委员会}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第八条  其他约定事项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{其他约定事项}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对本合同的变更或补充不合理地减轻或免除出卖人应承担的责任的，仍以本合同为准。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本合同未定事项，按照《农业机械产品修理、更换、退货责任规定》执行，或双方可协商签定{补充协议}。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第十一条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本合同一式  {份数}  份，双方各持  {持有份数}  份，具有同等法律效力。本合同自双方签字之日起生效。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{买受人（章）：{}}                     {出卖人（章）：{}}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联系方式：{联系电话}  </w:t>
        <w:br/>
        <w:t>联系方式：{联系电话}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法定代表人：{法定代表人}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签订时间：{签订时间}          签订地点：{签订地点}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2022-02-18T17:35:34Z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