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2520" w:leader="none"/>
        </w:tabs>
        <w:spacing w:lineRule="exact" w:line="560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eastAsia="仿宋_GB2312;仿宋" w:cs="Times New Roman" w:ascii="Times New Roman" w:hAnsi="Times New Roman"/>
          <w:b/>
          <w:sz w:val="28"/>
          <w:szCs w:val="28"/>
        </w:rPr>
        <w:t>JF-2019-060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合同编号：{合同编号}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天津市农家院旅游服务合同一般条款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b w:val="false"/>
          <w:bCs/>
          <w:color w:val="000000"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color w:val="000000"/>
          <w:sz w:val="28"/>
          <w:szCs w:val="28"/>
        </w:rPr>
        <w:t>（此部分用于网上或在农家院中填写）</w:t>
      </w:r>
    </w:p>
    <w:tbl>
      <w:tblPr>
        <w:tblW w:w="83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48"/>
        <w:gridCol w:w="720"/>
        <w:gridCol w:w="180"/>
        <w:gridCol w:w="720"/>
        <w:gridCol w:w="236"/>
        <w:gridCol w:w="1215"/>
        <w:gridCol w:w="45"/>
        <w:gridCol w:w="304"/>
        <w:gridCol w:w="1271"/>
        <w:gridCol w:w="1080"/>
        <w:gridCol w:w="1969"/>
      </w:tblGrid>
      <w:tr>
        <w:trPr/>
        <w:tc>
          <w:tcPr>
            <w:tcW w:w="64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旅游者基本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情况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姓名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性别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健康状况</w:t>
            </w:r>
          </w:p>
        </w:tc>
        <w:tc>
          <w:tcPr>
            <w:tcW w:w="1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740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注：共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男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女。  以上项目填写不全时，可另行填写。</w:t>
            </w:r>
          </w:p>
        </w:tc>
      </w:tr>
      <w:tr>
        <w:trPr>
          <w:trHeight w:val="778" w:hRule="atLeast"/>
        </w:trPr>
        <w:tc>
          <w:tcPr>
            <w:tcW w:w="64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服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费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住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宿</w:t>
            </w:r>
          </w:p>
        </w:tc>
        <w:tc>
          <w:tcPr>
            <w:tcW w:w="7020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住宿时间：从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日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时 至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日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时； 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住宿条件：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单间，□独立卫生间，□免费</w:t>
            </w: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  <w:t>WIFI,□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其他：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早餐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顿，中餐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顿。晚餐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顿（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米、岁以下儿童免费）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不含餐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订餐：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                                           </w:t>
            </w:r>
          </w:p>
        </w:tc>
      </w:tr>
      <w:tr>
        <w:trPr>
          <w:trHeight w:val="650" w:hRule="atLeast"/>
        </w:trPr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交通</w:t>
            </w:r>
          </w:p>
        </w:tc>
        <w:tc>
          <w:tcPr>
            <w:tcW w:w="7020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接送：时间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地点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班次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（□免费□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元）</w:t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游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乐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旅游项目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时间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活动内容</w:t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价格</w:t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30" w:hRule="atLeast"/>
        </w:trPr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合计</w:t>
            </w:r>
          </w:p>
        </w:tc>
        <w:tc>
          <w:tcPr>
            <w:tcW w:w="7020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元，大写：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                </w:t>
            </w:r>
          </w:p>
        </w:tc>
      </w:tr>
      <w:tr>
        <w:trPr/>
        <w:tc>
          <w:tcPr>
            <w:tcW w:w="13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违约金</w:t>
            </w:r>
          </w:p>
        </w:tc>
        <w:tc>
          <w:tcPr>
            <w:tcW w:w="7020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双方任何一方违反约定，由过错方向另一方支付合同总额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的违约金</w:t>
            </w:r>
          </w:p>
        </w:tc>
      </w:tr>
      <w:tr>
        <w:trPr>
          <w:trHeight w:val="1270" w:hRule="atLeast"/>
        </w:trPr>
        <w:tc>
          <w:tcPr>
            <w:tcW w:w="4068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旅游者签字：               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日期：                 年  月  日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旅游服务者签字：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日期：       年   月  日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注：{住宿和就餐的环境、标准}详见清单、承诺或介绍。</w:t>
      </w:r>
    </w:p>
    <w:p>
      <w:pPr>
        <w:pStyle w:val="Normal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eastAsia="黑体" w:cs="Times New Roman" w:ascii="Times New Roman" w:hAnsi="Times New Roman"/>
          <w:b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eastAsia="黑体" w:cs="Times New Roman" w:ascii="Times New Roman" w:hAnsi="Times New Roman"/>
          <w:b/>
          <w:sz w:val="44"/>
          <w:szCs w:val="44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天津市农家院旅游服务合同通用条款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b w:val="false"/>
          <w:bCs/>
          <w:color w:val="000000"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color w:val="000000"/>
          <w:sz w:val="28"/>
          <w:szCs w:val="28"/>
        </w:rPr>
        <w:t>（此部分用于网上或在农家院中悬挂公示）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消费者权益保护法》、《中华人民共和国旅游法》等有关法律法规的规定，双方在平等、自愿、公平、诚实信用原则的基础上，就农家院旅游服务的有关事宜，经协商达成协议如下</w:t>
      </w:r>
      <w:r>
        <w:rPr>
          <w:rFonts w:eastAsia="方正书宋_GBK" w:cs="方正书宋_GBK" w:ascii="方正书宋_GBK" w:hAnsi="方正书宋_GBK"/>
          <w:sz w:val="22"/>
          <w:szCs w:val="22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一、旅游者的权利、义务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、旅游者有权要求旅游服务者如实提供相关的证件以及住宿、餐饮、交通、游乐项目等服务相关条件、标准、价格标准。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、人身财产不受侵害，人格尊严、民族风俗习惯受尊重的权利。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、自主购物，公平交易，自主选择自费项目的权利。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、旅游者有拒绝旅游服务者违反合同约定的权利，对旅游服务者服务进行监督的权利。有对旅游服务者侵害其合法权益的行为向有关部门投诉、举报的权利。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、维护国家利益、自尊、自重、自爱，举止文明，不损害国家、集体和他人的合法权益。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、自觉遵守合同约定、履行合同义务。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、旅游住宿期间爱护公共、个人财产，损害东西要按价赔偿。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二、旅游服务者的权利、义务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、享有核实旅游者人员身份证件的权利</w:t>
      </w:r>
      <w:r>
        <w:rPr>
          <w:rFonts w:eastAsia="方正书宋_GBK" w:cs="方正书宋_GBK" w:ascii="方正书宋_GBK" w:hAnsi="方正书宋_GBK"/>
          <w:sz w:val="22"/>
          <w:szCs w:val="22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、享有向旅游者收取定金以及旅游住宿、交通、游乐等相关费用的权利。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、按照双方约定的服务项目提供服务。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、为旅游者提供旅游景点、采摘、垂钓、滑雪、冲浪等旅游项目，不得做虚假、误导性的书面或口头宣传。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、为旅游者提供的农家院旅游服务要符合国家对公共卫生、消防安全、环境安全、食品安全、旅游安全等有关法律法规的规定。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、农家院旅游服务的自费项目，应征得旅游者同意，不得强行安排旅游者购物。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三、违约责任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（一）旅游服务者可以向旅游者收取定金。旅游者履行</w:t>
      </w:r>
      <w:r>
        <w:rPr>
          <w:rFonts w:ascii="方正书宋_GBK" w:hAnsi="方正书宋_GBK" w:cs="方正书宋_GBK" w:eastAsia="方正书宋_GBK"/>
          <w:color w:val="333333"/>
          <w:sz w:val="22"/>
          <w:szCs w:val="22"/>
          <w:shd w:fill="FFFFFF" w:val="clear"/>
        </w:rPr>
        <w:t>债务后</w:t>
      </w:r>
      <w:r>
        <w:rPr>
          <w:rFonts w:ascii="方正书宋_GBK" w:hAnsi="方正书宋_GBK" w:cs="方正书宋_GBK" w:eastAsia="方正书宋_GBK"/>
          <w:sz w:val="22"/>
          <w:szCs w:val="22"/>
        </w:rPr>
        <w:t>，定金应当抵作服务费或者收回。旅游者不履行</w:t>
      </w:r>
      <w:r>
        <w:rPr>
          <w:rFonts w:ascii="方正书宋_GBK" w:hAnsi="方正书宋_GBK" w:cs="方正书宋_GBK" w:eastAsia="方正书宋_GBK"/>
          <w:color w:val="333333"/>
          <w:sz w:val="22"/>
          <w:szCs w:val="22"/>
          <w:shd w:fill="FFFFFF" w:val="clear"/>
        </w:rPr>
        <w:t>债务的</w:t>
      </w:r>
      <w:r>
        <w:rPr>
          <w:rFonts w:ascii="方正书宋_GBK" w:hAnsi="方正书宋_GBK" w:cs="方正书宋_GBK" w:eastAsia="方正书宋_GBK"/>
          <w:sz w:val="22"/>
          <w:szCs w:val="22"/>
        </w:rPr>
        <w:t>，无权要求返还定金。旅游服务者不履行</w:t>
      </w:r>
      <w:r>
        <w:rPr>
          <w:rFonts w:ascii="方正书宋_GBK" w:hAnsi="方正书宋_GBK" w:cs="方正书宋_GBK" w:eastAsia="方正书宋_GBK"/>
          <w:color w:val="333333"/>
          <w:sz w:val="22"/>
          <w:szCs w:val="22"/>
          <w:shd w:fill="FFFFFF" w:val="clear"/>
        </w:rPr>
        <w:t>债务的</w:t>
      </w:r>
      <w:r>
        <w:rPr>
          <w:rFonts w:ascii="方正书宋_GBK" w:hAnsi="方正书宋_GBK" w:cs="方正书宋_GBK" w:eastAsia="方正书宋_GBK"/>
          <w:sz w:val="22"/>
          <w:szCs w:val="22"/>
        </w:rPr>
        <w:t>，应双倍返还定金。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（二）旅游者违约责任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、由于旅游者自身过错，旅游住宿期间内的行为引起的人身、财产损失由旅游者自行承担。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、旅游者因违反有关法律法规而被处罚、拘留或追究其他法律责任的，由旅游者自行承担；给旅游服务者造成损失的，应承担赔偿责任。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（三）旅游服务者违约责任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、旅游者在旅游住宿期间，由于旅游服务者因未尽妥善保管义务而造成财务损失的，应由旅游服务者承担赔偿责任。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、旅游者在旅游住宿期间，由于旅游服务者的原因，造成人身伤害的，由旅游服务者承担相应责任。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（四）争议解决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双方发生争议时，可向有关部门或消费者协会申请调解。协商或调解不成时，可依法向人民法院起诉。选择仲裁方式仲裁的，另行约定。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（五）其他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天津市农家院旅游服务合同通用条款、天津市农家院旅游服务合同一般条款、住宿和就餐的环境、标准的清单或介绍是本合同不可分割的组成部分，具有同等法律效力。</w:t>
      </w:r>
    </w:p>
    <w:p>
      <w:pPr>
        <w:pStyle w:val="Normal"/>
        <w:snapToGrid w:val="false"/>
        <w:spacing w:lineRule="exact" w:line="600"/>
        <w:rPr>
          <w:rFonts w:ascii="Times New Roman" w:hAnsi="Times New Roman" w:eastAsia="方正小标宋简体" w:cs="Times New Roman"/>
          <w:sz w:val="44"/>
          <w:szCs w:val="44"/>
        </w:rPr>
      </w:pPr>
      <w:r>
        <w:rPr>
          <w:rFonts w:eastAsia="方正小标宋简体" w:cs="Times New Roman" w:ascii="Times New Roman" w:hAnsi="Times New Roman"/>
          <w:sz w:val="44"/>
          <w:szCs w:val="44"/>
        </w:rPr>
      </w:r>
    </w:p>
    <w:sectPr>
      <w:footerReference w:type="even" r:id="rId2"/>
      <w:footerReference w:type="default" r:id="rId3"/>
      <w:type w:val="nextPage"/>
      <w:pgSz w:w="11906" w:h="16838"/>
      <w:pgMar w:left="1588" w:right="1474" w:gutter="0" w:header="0" w:top="2098" w:footer="992" w:bottom="1985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仿宋_GB2312">
    <w:altName w:val="仿宋"/>
    <w:charset w:val="86"/>
    <w:family w:val="modern"/>
    <w:pitch w:val="default"/>
  </w:font>
  <w:font w:name="Wingdings"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page">
                <wp:posOffset>1172210</wp:posOffset>
              </wp:positionH>
              <wp:positionV relativeFrom="paragraph">
                <wp:posOffset>-217170</wp:posOffset>
              </wp:positionV>
              <wp:extent cx="686435" cy="24892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435" cy="2489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rFonts w:ascii="Times New Roman" w:hAnsi="Times New Roman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4.05pt;height:19.6pt;mso-wrap-distance-left:0pt;mso-wrap-distance-right:0pt;mso-wrap-distance-top:0pt;mso-wrap-distance-bottom:0pt;margin-top:-17.1pt;mso-position-vertical-relative:text;margin-left:92.3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  <w:sz w:val="21"/>
                        <w:szCs w:val="21"/>
                      </w:rPr>
                    </w:pPr>
                    <w:r>
                      <w:rPr>
                        <w:rStyle w:val="PageNumber"/>
                        <w:rFonts w:ascii="Times New Roman" w:hAnsi="Times New Roman"/>
                        <w:sz w:val="28"/>
                        <w:szCs w:val="28"/>
                      </w:rPr>
                      <w:t>—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rFonts w:ascii="Times New Roman" w:hAnsi="Times New Roman"/>
                      </w:rPr>
                      <w:t>2</w:t>
                    </w:r>
                    <w:r>
                      <w:rPr>
                        <w:sz w:val="28"/>
                        <w:szCs w:val="28"/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Style w:val="PageNumber"/>
                        <w:rFonts w:ascii="Times New Roman" w:hAnsi="Times New Roman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38"/>
      <w:jc w:val="end"/>
      <w:rPr>
        <w:sz w:val="28"/>
        <w:szCs w:val="28"/>
      </w:rPr>
    </w:pPr>
    <w:r>
      <w:rPr>
        <w:rFonts w:cs="仿宋_GB2312;仿宋"/>
        <w:sz w:val="28"/>
        <w:szCs w:val="28"/>
      </w:rPr>
      <w:t>—</w:t>
    </w: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3</w:t>
    </w:r>
    <w:r>
      <w:rPr>
        <w:sz w:val="28"/>
        <w:szCs w:val="28"/>
        <w:rFonts w:ascii="Times New Roman" w:hAnsi="Times New Roman"/>
      </w:rPr>
      <w:fldChar w:fldCharType="end"/>
    </w:r>
    <w:r>
      <w:rPr>
        <w:rFonts w:cs="仿宋_GB2312;仿宋"/>
        <w:sz w:val="28"/>
        <w:szCs w:val="28"/>
      </w:rPr>
      <w:t>—</w:t>
    </w:r>
  </w:p>
  <w:p>
    <w:pPr>
      <w:pStyle w:val="Footer"/>
      <w:ind w:end="360"/>
      <w:rPr>
        <w:sz w:val="28"/>
        <w:szCs w:val="28"/>
      </w:rPr>
    </w:pPr>
    <w:r>
      <w:rPr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□"/>
      <w:lvlJc w:val="start"/>
      <w:pPr>
        <w:tabs>
          <w:tab w:val="num" w:pos="0"/>
        </w:tabs>
        <w:ind w:start="360" w:hanging="360"/>
      </w:pPr>
      <w:rPr>
        <w:rFonts w:ascii="仿宋_GB2312" w:hAnsi="仿宋_GB2312" w:cs="仿宋_GB2312" w:hint="default"/>
      </w:rPr>
    </w:lvl>
    <w:lvl w:ilvl="1">
      <w:start w:val="1"/>
      <w:numFmt w:val="bullet"/>
      <w:lvlText w:val=""/>
      <w:lvlJc w:val="start"/>
      <w:pPr>
        <w:tabs>
          <w:tab w:val="num" w:pos="0"/>
        </w:tabs>
        <w:ind w:star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start"/>
      <w:pPr>
        <w:tabs>
          <w:tab w:val="num" w:pos="0"/>
        </w:tabs>
        <w:ind w:star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0"/>
        </w:tabs>
        <w:ind w:star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start"/>
      <w:pPr>
        <w:tabs>
          <w:tab w:val="num" w:pos="0"/>
        </w:tabs>
        <w:ind w:star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0"/>
        </w:tabs>
        <w:ind w:star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start"/>
      <w:pPr>
        <w:tabs>
          <w:tab w:val="num" w:pos="0"/>
        </w:tabs>
        <w:ind w:star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>
      <w:rFonts w:ascii="仿宋_GB2312;仿宋" w:hAnsi="仿宋_GB2312;仿宋" w:eastAsia="仿宋_GB2312;仿宋" w:cs="Times New Roman"/>
    </w:rPr>
  </w:style>
  <w:style w:type="character" w:styleId="WW8Num1z1">
    <w:name w:val="WW8Num1z1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Char">
    <w:name w:val="正文文本 Char"/>
    <w:qFormat/>
    <w:rPr>
      <w:rFonts w:ascii="Calibri" w:hAnsi="Calibri" w:eastAsia="宋体" w:cs="Times New Roman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rFonts w:ascii="仿宋_GB2312;仿宋" w:hAnsi="仿宋_GB2312;仿宋" w:eastAsia="仿宋_GB2312;仿宋" w:cs="Times New Roman"/>
      <w:color w:val="000000"/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kern w:val="0"/>
      <w:sz w:val="20"/>
      <w:szCs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仿宋_GB2312;仿宋" w:hAnsi="仿宋_GB2312;仿宋" w:eastAsia="仿宋_GB2312;仿宋" w:cs="Times New Roman"/>
      <w:color w:val="000000"/>
      <w:sz w:val="18"/>
      <w:szCs w:val="18"/>
    </w:rPr>
  </w:style>
  <w:style w:type="paragraph" w:styleId="CharCharCharCharCharChar1Char">
    <w:name w:val="Char Char Char Char Char Char1 Char"/>
    <w:basedOn w:val="Normal"/>
    <w:qFormat/>
    <w:pPr>
      <w:widowControl/>
      <w:spacing w:lineRule="exact" w:line="240" w:before="0" w:after="160"/>
      <w:jc w:val="start"/>
    </w:pPr>
    <w:rPr>
      <w:rFonts w:ascii="Arial" w:hAnsi="Arial" w:eastAsia="Times New Roman" w:cs="Verdana"/>
      <w:b/>
      <w:kern w:val="0"/>
      <w:sz w:val="24"/>
      <w:szCs w:val="32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2019-12-16T09:17:00Z</dcterms:created>
  <dc:creator>管理员</dc:creator>
  <dc:description/>
  <dc:language>zh-CN</dc:language>
  <cp:lastModifiedBy>袁弘信</cp:lastModifiedBy>
  <dcterms:modified xsi:type="dcterms:W3CDTF">2022-02-18T17:36:35Z</dcterms:modified>
  <cp:revision>2</cp:revision>
  <dc:subject/>
  <dc:title>天津市市场和质量监督管理委员会文件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