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/>
      </w:pPr>
      <w:r>
        <w:rPr>
          <w:sz w:val="28"/>
          <w:szCs w:val="28"/>
        </w:rPr>
        <w:t>JF-2008-042</w:t>
      </w:r>
      <w:r>
        <w:rPr>
          <w:szCs w:val="21"/>
        </w:rPr>
        <w:t xml:space="preserve">                                </w:t>
      </w:r>
      <w:r>
        <w:rPr>
          <w:szCs w:val="21"/>
        </w:rPr>
        <w:t>合同编号：{合同编号}</w:t>
      </w:r>
    </w:p>
    <w:p>
      <w:pPr>
        <w:pStyle w:val="3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天津市水泥买卖合同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rFonts w:eastAsia="Times New Roman"/>
          <w:szCs w:val="21"/>
        </w:rPr>
        <w:t>签订时间：{签订时间}</w:t>
      </w: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rFonts w:eastAsia="Times New Roman"/>
          <w:szCs w:val="21"/>
        </w:rPr>
        <w:t>签订地点：{签订地点}</w:t>
      </w:r>
      <w:r>
        <w:rPr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根据《中华人民共和国合同法》及其他有关法律、行政法规的规定，买卖双方在平等、自愿、公平、诚实信用的基础上，就{水泥买卖事宜}达成协议如下：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/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第一条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所购水泥基本情况                 单位：{计量单位}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907"/>
        <w:gridCol w:w="551"/>
        <w:gridCol w:w="494"/>
        <w:gridCol w:w="882"/>
        <w:gridCol w:w="633"/>
        <w:gridCol w:w="634"/>
        <w:gridCol w:w="634"/>
        <w:gridCol w:w="470"/>
        <w:gridCol w:w="650"/>
        <w:gridCol w:w="664"/>
      </w:tblGrid>
      <w:tr>
        <w:trPr>
          <w:trHeight w:val="312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品种</w:t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产地</w:t>
            </w:r>
          </w:p>
        </w:tc>
        <w:tc>
          <w:tcPr>
            <w:tcW w:w="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品牌</w:t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规格型号</w:t>
            </w:r>
          </w:p>
        </w:tc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等级</w:t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标号</w:t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单价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总价</w:t>
            </w:r>
          </w:p>
        </w:tc>
        <w:tc>
          <w:tcPr>
            <w:tcW w:w="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备注</w:t>
            </w:r>
          </w:p>
        </w:tc>
      </w:tr>
      <w:tr>
        <w:trPr>
          <w:trHeight w:val="312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6519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合计人民币（大写）   万   仟  佰  拾  元  角   分（小写）：￥        元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第二条</w:t>
      </w:r>
      <w:r>
        <w:rPr>
          <w:rFonts w:ascii="方正黑体_GBK" w:hAnsi="方正黑体_GBK" w:cs="方正黑体_GBK" w:eastAsia="方正黑体_GBK"/>
          <w:sz w:val="22"/>
          <w:szCs w:val="22"/>
        </w:rPr>
        <w:t xml:space="preserve">  质量标准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/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第三条  交货</w:t>
      </w:r>
      <w:r>
        <w:rPr>
          <w:rFonts w:ascii="方正书宋_GBK" w:hAnsi="方正书宋_GBK" w:cs="方正书宋_GBK" w:eastAsia="方正书宋_GBK"/>
          <w:sz w:val="22"/>
          <w:szCs w:val="22"/>
        </w:rPr>
        <w:t>：{交货条款}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293"/>
        <w:gridCol w:w="1154"/>
        <w:gridCol w:w="541"/>
        <w:gridCol w:w="635"/>
        <w:gridCol w:w="846"/>
        <w:gridCol w:w="635"/>
        <w:gridCol w:w="635"/>
        <w:gridCol w:w="635"/>
        <w:gridCol w:w="634"/>
        <w:gridCol w:w="511"/>
      </w:tblGrid>
      <w:tr>
        <w:trPr>
          <w:trHeight w:val="312" w:hRule="atLeast"/>
        </w:trPr>
        <w:tc>
          <w:tcPr>
            <w:tcW w:w="144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收货单位</w:t>
            </w:r>
          </w:p>
        </w:tc>
        <w:tc>
          <w:tcPr>
            <w:tcW w:w="202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到       站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时间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地点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方式</w:t>
            </w:r>
          </w:p>
        </w:tc>
      </w:tr>
      <w:tr>
        <w:trPr>
          <w:trHeight w:val="312" w:hRule="atLeast"/>
        </w:trPr>
        <w:tc>
          <w:tcPr>
            <w:tcW w:w="144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路局</w:t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车站</w:t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专用线</w:t>
            </w:r>
          </w:p>
        </w:tc>
        <w:tc>
          <w:tcPr>
            <w:tcW w:w="6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送货</w:t>
            </w:r>
          </w:p>
        </w:tc>
        <w:tc>
          <w:tcPr>
            <w:tcW w:w="5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自提</w:t>
            </w:r>
          </w:p>
        </w:tc>
      </w:tr>
      <w:tr>
        <w:trPr>
          <w:trHeight w:val="312" w:hRule="atLeast"/>
        </w:trPr>
        <w:tc>
          <w:tcPr>
            <w:tcW w:w="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4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包装标准及包装物的供应与回收：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{包装标准及包装物信息}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hanging="3520" w:start="352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第四条  验收：</w:t>
      </w:r>
      <w:r>
        <w:rPr>
          <w:rFonts w:ascii="方正书宋_GBK" w:hAnsi="方正书宋_GBK" w:cs="方正书宋_GBK" w:eastAsia="方正书宋_GBK"/>
          <w:sz w:val="22"/>
          <w:szCs w:val="22"/>
        </w:rPr>
        <w:t>对于水泥产品的规格型号、数量、标号等与约定不符或有其他质量问题的，买方异议期为卖方交货后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{异议期限} 日内，异议经核实，卖方应无条件补足或换货。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验收标准：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{验收标准内容}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第五条  付款方式及时间：</w:t>
      </w:r>
      <w:r>
        <w:rPr>
          <w:rFonts w:ascii="方正书宋_GBK" w:hAnsi="方正书宋_GBK" w:cs="方正书宋_GBK" w:eastAsia="方正书宋_GBK"/>
          <w:sz w:val="22"/>
          <w:szCs w:val="22"/>
        </w:rPr>
        <w:t>双方约定以第  {付款方式}  种方式支付价款。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1. </w:t>
      </w:r>
      <w:r>
        <w:rPr>
          <w:rFonts w:ascii="方正书宋_GBK" w:hAnsi="方正书宋_GBK" w:cs="方正书宋_GBK" w:eastAsia="方正书宋_GBK"/>
          <w:sz w:val="22"/>
          <w:szCs w:val="22"/>
        </w:rPr>
        <w:t>签定合同时，买方支付（□定金  □预付款）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{预付款金额}</w:t>
      </w:r>
      <w:r>
        <w:rPr>
          <w:rFonts w:ascii="方正书宋_GBK" w:hAnsi="方正书宋_GBK" w:cs="方正书宋_GBK" w:eastAsia="方正书宋_GBK"/>
          <w:sz w:val="22"/>
          <w:szCs w:val="22"/>
        </w:rPr>
        <w:t>元（定金不得超过总价款的</w:t>
      </w:r>
      <w:r>
        <w:rPr>
          <w:rFonts w:eastAsia="方正书宋_GBK" w:cs="方正书宋_GBK" w:ascii="方正书宋_GBK" w:hAnsi="方正书宋_GBK"/>
          <w:sz w:val="22"/>
          <w:szCs w:val="22"/>
        </w:rPr>
        <w:t>20%</w:t>
      </w:r>
      <w:r>
        <w:rPr>
          <w:rFonts w:ascii="方正书宋_GBK" w:hAnsi="方正书宋_GBK" w:cs="方正书宋_GBK" w:eastAsia="方正书宋_GBK"/>
          <w:sz w:val="22"/>
          <w:szCs w:val="22"/>
        </w:rPr>
        <w:t>），货到验收后一次性支付余款；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{ }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</w:r>
      <w:r>
        <w:rPr>
          <w:rFonts w:eastAsia="方正书宋_GBK" w:cs="方正书宋_GBK" w:ascii="方正书宋_GBK" w:hAnsi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黑体_GBK" w:hAnsi="方正黑体_GBK" w:eastAsia="方正黑体_GBK" w:cs="方正黑体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第六条 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（一）卖方违约责任：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、水泥产品经专业机构检测不符合国家标准或合同约定质量标准的，卖方应无条件换、退货，或赔偿买方由此受到的损失。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、卖方迟延交货的，每日应向买方支付迟延部分价款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{迟延违约</w:t>
      </w:r>
      <w:r>
        <w:rPr>
          <w:rFonts w:eastAsia="方正书宋_GBK" w:cs="方正书宋_GBK" w:ascii="方正书宋_GBK" w:hAnsi="方正书宋_GBK"/>
          <w:sz w:val="22"/>
          <w:szCs w:val="22"/>
        </w:rPr>
        <w:t>金</w:t>
      </w:r>
      <w:r>
        <w:rPr>
          <w:rFonts w:ascii="方正书宋_GBK" w:hAnsi="方正书宋_GBK" w:cs="方正书宋_GBK" w:eastAsia="方正书宋_GBK"/>
          <w:sz w:val="22"/>
          <w:szCs w:val="22"/>
        </w:rPr>
        <w:t>比例}%的违约金；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迟延交货{迟</w:t>
      </w:r>
      <w:r>
        <w:rPr>
          <w:rFonts w:ascii="方正书宋_GBK" w:hAnsi="方正书宋_GBK" w:cs="方正书宋_GBK" w:eastAsia="方正书宋_GBK"/>
          <w:sz w:val="22"/>
          <w:szCs w:val="22"/>
        </w:rPr>
        <w:t>延天数}日的，除支付违约金外，买方还有权解除合同。卖方已收取定金、预付款或价款应全部返还，但买方在不收取违约金的情况下，有权要求卖方双倍返还定金。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（二）买方违约责任：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、买方迟延提货的，每日应向卖方支付迟延部分价款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{违约金比例</w:t>
      </w:r>
      <w:r>
        <w:rPr>
          <w:rFonts w:eastAsia="方正书宋_GBK" w:cs="方正书宋_GBK" w:ascii="方正书宋_GBK" w:hAnsi="方正书宋_GBK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</w:rPr>
        <w:t>%的违约金；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、买方无正当理由单方解除合同的，应赔偿由此给卖方造成的损失，已支付定金的无权要求返还。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黑体_GBK" w:hAnsi="方正黑体_GBK" w:eastAsia="方正黑体_GBK" w:cs="方正黑体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第七条  争议解决方式：{争议解决方式}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本合同在履行过程中发生的争议，由双方当事人协商解决；协商不成的，按下列第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{争议解决方</w:t>
      </w:r>
      <w:r>
        <w:rPr>
          <w:rFonts w:ascii="方正书宋_GBK" w:hAnsi="方正书宋_GBK" w:cs="方正书宋_GBK" w:eastAsia="方正书宋_GBK"/>
          <w:sz w:val="22"/>
          <w:szCs w:val="22"/>
        </w:rPr>
        <w:t>式}种方式解决：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{争议解决方式}仲裁委员会仲裁；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（二）依法向人民法院起诉。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第八条  其他约定事项：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{其他约定事项内容}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 xml:space="preserve">第九条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对本合同的变更或补充不合理地减轻或免除{卖方责任}的，仍以本合同为准。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第十条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本合同未定事项，双方可协商签定补充协议。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买方（章）：{买方章}                         卖方（章）：{卖方章}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住所：{住所}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邮编：{邮编}  </w:t>
        <w:br/>
        <w:t>邮编：{邮编}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电话：{联系电话}  </w:t>
        <w:br/>
        <w:t>电话：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法定代表人：{法定代表人名称}  </w:t>
        <w:br/>
        <w:t>法定代表人：{法定代表人名称}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委托代理人：{委托代理人}  </w:t>
        <w:br/>
        <w:t>委托代理人：{委托代理人}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开户银行：{开户银行}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帐    号：{帐号}          帐    号：{帐号}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E-Mail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：{E-Mail}  </w:t>
        <w:br/>
        <w:t>E-Mail：{E-Mail}</w:t>
      </w:r>
      <w:r>
        <w:rPr>
          <w:rFonts w:eastAsia="方正书宋_GBK" w:cs="方正书宋_GBK" w:ascii="方正书宋_GBK" w:hAnsi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sectPr>
      <w:footerReference w:type="default" r:id="rId2"/>
      <w:type w:val="nextPage"/>
      <w:pgSz w:w="9184" w:h="12983"/>
      <w:pgMar w:left="1361" w:right="1304" w:gutter="0" w:header="0" w:top="1701" w:footer="992" w:bottom="153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方正小标宋简体">
    <w:charset w:val="86"/>
    <w:family w:val="auto"/>
    <w:pitch w:val="default"/>
  </w:font>
  <w:font w:name="楷体_GB2312">
    <w:altName w:val="楷体"/>
    <w:charset w:val="86"/>
    <w:family w:val="modern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160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2Char">
    <w:name w:val="样式2 Char"/>
    <w:basedOn w:val="Style14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BodyTextIndent">
    <w:name w:val="Body Text Indent"/>
    <w:basedOn w:val="Normal"/>
    <w:pPr>
      <w:ind w:hanging="0" w:start="105" w:end="0"/>
    </w:pPr>
    <w:rPr>
      <w:rFonts w:ascii="楷体_GB2312;楷体" w:hAnsi="楷体_GB2312;楷体" w:eastAsia="楷体_GB2312;楷体"/>
      <w:spacing w:val="-4"/>
      <w:sz w:val="28"/>
      <w:szCs w:val="20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dcterms:modified xsi:type="dcterms:W3CDTF">2022-02-18T17:42:38Z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