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468" w:after="0"/>
        <w:jc w:val="center"/>
        <w:rPr>
          <w:rFonts w:ascii="Times New Roman" w:hAnsi="Times New Roman" w:eastAsia="仿宋_GB2312;仿宋" w:cs="Times New Roman"/>
          <w:color w:val="FF0000"/>
          <w:w w:val="80"/>
          <w:sz w:val="30"/>
        </w:rPr>
      </w:pPr>
      <w:r>
        <w:rPr>
          <w:rFonts w:eastAsia="仿宋_GB2312;仿宋" w:cs="Times New Roman" w:ascii="Times New Roman" w:hAnsi="Times New Roman"/>
          <w:color w:val="FF0000"/>
          <w:w w:val="80"/>
          <w:sz w:val="30"/>
        </w:rPr>
      </w:r>
    </w:p>
    <w:p>
      <w:pPr>
        <w:pStyle w:val="Normal"/>
        <w:spacing w:lineRule="auto" w:line="360"/>
        <w:jc w:val="center"/>
        <w:rPr>
          <w:rFonts w:ascii="Times New Roman" w:hAnsi="Times New Roman" w:eastAsia="仿宋_GB2312;仿宋" w:cs="Times New Roman"/>
          <w:color w:val="FF0000"/>
          <w:w w:val="80"/>
          <w:sz w:val="32"/>
          <w:szCs w:val="32"/>
        </w:rPr>
      </w:pPr>
      <w:r>
        <w:rPr>
          <w:rFonts w:eastAsia="仿宋_GB2312;仿宋" w:cs="Times New Roman" w:ascii="Times New Roman" w:hAnsi="Times New Roman"/>
          <w:color w:val="FF0000"/>
          <w:w w:val="80"/>
          <w:sz w:val="32"/>
          <w:szCs w:val="32"/>
        </w:rPr>
      </w:r>
    </w:p>
    <w:p>
      <w:pPr>
        <w:pStyle w:val="Normal"/>
        <w:snapToGrid w:val="false"/>
        <w:spacing w:lineRule="auto" w:line="36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28"/>
          <w:szCs w:val="28"/>
        </w:rPr>
        <w:t xml:space="preserve">JF-2019-033 </w:t>
      </w:r>
      <w:r>
        <w:rPr>
          <w:rFonts w:eastAsia="仿宋_GB2312;仿宋" w:cs="Times New Roman" w:ascii="Times New Roman" w:hAnsi="Times New Roman"/>
          <w:b/>
          <w:color w:val="000000"/>
          <w:sz w:val="32"/>
          <w:szCs w:val="32"/>
        </w:rPr>
        <w:t xml:space="preserve">                       </w:t>
      </w:r>
      <w:r>
        <w:rPr>
          <w:rFonts w:eastAsia="仿宋_GB2312;仿宋" w:cs="Times New Roman" w:ascii="Times New Roman" w:hAnsi="Times New Roman"/>
          <w:b/>
          <w:color w:val="000000"/>
          <w:sz w:val="28"/>
          <w:szCs w:val="28"/>
        </w:rPr>
        <w:t xml:space="preserve"> </w:t>
      </w:r>
      <w:r>
        <w:rPr>
          <w:rFonts w:ascii="Times New Roman" w:hAnsi="Times New Roman" w:cs="Times New Roman" w:eastAsia="仿宋_GB2312;仿宋"/>
          <w:b/>
          <w:color w:val="000000"/>
          <w:sz w:val="28"/>
          <w:szCs w:val="28"/>
        </w:rPr>
        <w:t>合同编号：{合同编号}</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黑体" w:cs="Times New Roman"/>
          <w:b/>
          <w:color w:val="000000"/>
          <w:sz w:val="52"/>
          <w:szCs w:val="52"/>
        </w:rPr>
      </w:pPr>
      <w:r>
        <w:rPr>
          <w:rFonts w:ascii="方正小标宋_GBK" w:hAnsi="方正小标宋_GBK" w:cs="方正小标宋_GBK" w:eastAsia="方正小标宋_GBK"/>
          <w:b/>
          <w:color w:val="000000"/>
          <w:sz w:val="40"/>
          <w:szCs w:val="40"/>
        </w:rPr>
        <w:t>天津市委托拍卖合同</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3" w:end="0"/>
        <w:rPr>
          <w:rFonts w:ascii="Times New Roman" w:hAnsi="Times New Roman" w:eastAsia="仿宋_GB2312;仿宋" w:cs="Times New Roman"/>
          <w:b/>
          <w:color w:val="000000"/>
          <w:sz w:val="32"/>
          <w:szCs w:val="32"/>
          <w:u w:val="single"/>
        </w:rPr>
      </w:pPr>
      <w:r>
        <w:rPr>
          <w:rFonts w:ascii="Times New Roman" w:hAnsi="Times New Roman" w:cs="Times New Roman" w:eastAsia="仿宋_GB2312;仿宋"/>
          <w:b/>
          <w:color w:val="000000"/>
          <w:sz w:val="32"/>
          <w:szCs w:val="32"/>
        </w:rPr>
        <w:t>委托人：</w:t>
      </w:r>
      <w:r>
        <w:rPr>
          <w:rFonts w:ascii="Times New Roman" w:hAnsi="Times New Roman" w:cs="Times New Roman" w:eastAsia="Times New Roman"/>
          <w:b/>
          <w:color w:val="000000"/>
          <w:sz w:val="32"/>
          <w:szCs w:val="32"/>
          <w:u w:val="single"/>
        </w:rPr>
        <w:t>{委托人姓名}</w:t>
      </w:r>
    </w:p>
    <w:p>
      <w:pPr>
        <w:pStyle w:val="Normal"/>
        <w:ind w:firstLine="643" w:end="0"/>
        <w:rPr>
          <w:rFonts w:ascii="Times New Roman" w:hAnsi="Times New Roman" w:eastAsia="仿宋_GB2312;仿宋" w:cs="Times New Roman"/>
          <w:b/>
          <w:color w:val="000000"/>
          <w:sz w:val="32"/>
          <w:szCs w:val="32"/>
          <w:u w:val="single"/>
        </w:rPr>
      </w:pPr>
      <w:r>
        <w:rPr>
          <w:rFonts w:eastAsia="仿宋_GB2312;仿宋" w:cs="Times New Roman" w:ascii="Times New Roman" w:hAnsi="Times New Roman"/>
          <w:b/>
          <w:color w:val="000000"/>
          <w:sz w:val="32"/>
          <w:szCs w:val="32"/>
          <w:u w:val="single"/>
        </w:rPr>
      </w:r>
    </w:p>
    <w:p>
      <w:pPr>
        <w:pStyle w:val="Normal"/>
        <w:ind w:firstLine="643" w:end="0"/>
        <w:rPr>
          <w:rFonts w:ascii="Times New Roman" w:hAnsi="Times New Roman" w:eastAsia="仿宋_GB2312;仿宋" w:cs="Times New Roman"/>
          <w:b/>
          <w:color w:val="000000"/>
          <w:sz w:val="32"/>
          <w:szCs w:val="32"/>
        </w:rPr>
      </w:pPr>
      <w:r>
        <w:rPr>
          <w:rFonts w:ascii="Times New Roman" w:hAnsi="Times New Roman" w:cs="Times New Roman" w:eastAsia="仿宋_GB2312;仿宋"/>
          <w:b/>
          <w:color w:val="000000"/>
          <w:sz w:val="32"/>
          <w:szCs w:val="32"/>
        </w:rPr>
        <w:t>拍卖人：</w:t>
      </w:r>
      <w:r>
        <w:rPr>
          <w:rFonts w:ascii="Times New Roman" w:hAnsi="Times New Roman" w:cs="Times New Roman" w:eastAsia="Times New Roman"/>
          <w:b/>
          <w:color w:val="000000"/>
          <w:sz w:val="32"/>
          <w:szCs w:val="32"/>
          <w:u w:val="single"/>
        </w:rPr>
        <w:t>{拍卖人名称}</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仿宋_GB2312;仿宋" w:cs="Times New Roman"/>
          <w:b/>
          <w:color w:val="000000"/>
          <w:sz w:val="32"/>
          <w:szCs w:val="32"/>
        </w:rPr>
      </w:pPr>
      <w:r>
        <w:rPr>
          <w:rFonts w:ascii="Times New Roman" w:hAnsi="Times New Roman" w:cs="Times New Roman" w:eastAsia="仿宋_GB2312;仿宋"/>
          <w:b/>
          <w:color w:val="000000"/>
          <w:sz w:val="32"/>
          <w:szCs w:val="32"/>
        </w:rPr>
        <w:t>天津市市场监督管理委员会</w:t>
      </w:r>
      <w:r>
        <w:rPr>
          <w:rFonts w:ascii="Times New Roman" w:hAnsi="Times New Roman" w:cs="Times New Roman" w:eastAsia="Times New Roman"/>
          <w:b/>
          <w:color w:val="000000"/>
          <w:sz w:val="32"/>
          <w:szCs w:val="32"/>
        </w:rPr>
        <w:t xml:space="preserve">  </w:t>
      </w:r>
      <w:r>
        <w:rPr>
          <w:rFonts w:ascii="仿宋_GB2312;仿宋" w:hAnsi="仿宋_GB2312;仿宋" w:eastAsia="仿宋_GB2312;仿宋"/>
          <w:b/>
          <w:sz w:val="32"/>
          <w:szCs w:val="32"/>
        </w:rPr>
        <w:t>制定</w:t>
      </w:r>
    </w:p>
    <w:p>
      <w:pPr>
        <w:pStyle w:val="Normal"/>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Times New Roman" w:hAnsi="Times New Roman" w:eastAsia="仿宋_GB2312;仿宋" w:cs="Times New Roman"/>
          <w:b/>
          <w:color w:val="000000"/>
          <w:sz w:val="44"/>
          <w:szCs w:val="44"/>
        </w:rPr>
      </w:pPr>
      <w:r>
        <w:rPr>
          <w:rFonts w:eastAsia="仿宋_GB2312;仿宋" w:cs="Times New Roman" w:ascii="Times New Roman" w:hAnsi="Times New Roman"/>
          <w:b/>
          <w:color w:val="000000"/>
          <w:sz w:val="44"/>
          <w:szCs w:val="44"/>
        </w:rPr>
      </w:r>
    </w:p>
    <w:p>
      <w:pPr>
        <w:pStyle w:val="Normal"/>
        <w:jc w:val="center"/>
        <w:rPr>
          <w:rFonts w:ascii="Times New Roman" w:hAnsi="Times New Roman" w:eastAsia="仿宋_GB2312;仿宋" w:cs="Times New Roman"/>
          <w:b/>
          <w:color w:val="000000"/>
          <w:sz w:val="44"/>
          <w:szCs w:val="44"/>
        </w:rPr>
      </w:pPr>
      <w:r>
        <w:rPr>
          <w:rFonts w:eastAsia="仿宋_GB2312;仿宋" w:cs="Times New Roman" w:ascii="Times New Roman" w:hAnsi="Times New Roman"/>
          <w:b/>
          <w:color w:val="000000"/>
          <w:sz w:val="44"/>
          <w:szCs w:val="44"/>
        </w:rPr>
      </w:r>
    </w:p>
    <w:p>
      <w:pPr>
        <w:pStyle w:val="Normal"/>
        <w:jc w:val="center"/>
        <w:rPr>
          <w:rFonts w:ascii="方正黑体_GBK" w:hAnsi="方正黑体_GBK" w:eastAsia="方正黑体_GBK" w:cs="方正黑体_GBK"/>
          <w:b/>
          <w:color w:val="000000"/>
          <w:sz w:val="28"/>
          <w:szCs w:val="28"/>
        </w:rPr>
      </w:pPr>
      <w:r>
        <w:rPr>
          <w:rFonts w:ascii="方正黑体_GBK" w:hAnsi="方正黑体_GBK" w:cs="方正黑体_GBK" w:eastAsia="方正黑体_GBK"/>
          <w:b/>
          <w:color w:val="000000"/>
          <w:sz w:val="28"/>
          <w:szCs w:val="28"/>
        </w:rPr>
        <w:t>使用说明书</w:t>
      </w:r>
    </w:p>
    <w:p>
      <w:pPr>
        <w:pStyle w:val="Normal"/>
        <w:rPr>
          <w:rFonts w:ascii="Times New Roman" w:hAnsi="Times New Roman" w:eastAsia="仿宋_GB2312;仿宋" w:cs="Times New Roman"/>
          <w:color w:val="000000"/>
          <w:sz w:val="32"/>
          <w:szCs w:val="32"/>
        </w:rPr>
      </w:pPr>
      <w:r>
        <w:rPr>
          <w:rFonts w:ascii="Times New Roman" w:hAnsi="Times New Roman" w:cs="Times New Roman" w:eastAsia="仿宋_GB2312;仿宋"/>
          <w:color w:val="000000"/>
          <w:sz w:val="32"/>
          <w:szCs w:val="32"/>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Times New Roman" w:hAnsi="Times New Roman" w:cs="Times New Roman" w:eastAsia="仿宋_GB2312;仿宋"/>
          <w:color w:val="000000"/>
          <w:sz w:val="32"/>
          <w:szCs w:val="32"/>
        </w:rPr>
        <w:t>　</w:t>
      </w:r>
      <w:r>
        <w:rPr>
          <w:rFonts w:ascii="方正书宋_GBK" w:hAnsi="方正书宋_GBK" w:cs="方正书宋_GBK" w:eastAsia="方正书宋_GBK"/>
          <w:color w:val="000000"/>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1. 此合</w:t>
      </w:r>
      <w:r>
        <w:rPr>
          <w:rFonts w:eastAsia="方正书宋_GBK" w:cs="方正书宋_GBK" w:ascii="方正书宋_GBK" w:hAnsi="方正书宋_GBK"/>
          <w:color w:val="000000"/>
          <w:sz w:val="22"/>
          <w:szCs w:val="22"/>
        </w:rPr>
        <w:t>同文本</w:t>
      </w:r>
      <w:r>
        <w:rPr>
          <w:rFonts w:ascii="方正书宋_GBK" w:hAnsi="方正书宋_GBK" w:cs="方正书宋_GBK" w:eastAsia="方正书宋_GBK"/>
          <w:color w:val="000000"/>
          <w:sz w:val="22"/>
          <w:szCs w:val="22"/>
        </w:rPr>
        <w:t>通用于天津市行政区域内拍卖企业接受的拍卖委托业务。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2. 当事</w:t>
      </w:r>
      <w:r>
        <w:rPr>
          <w:rFonts w:eastAsia="方正书宋_GBK" w:cs="方正书宋_GBK" w:ascii="方正书宋_GBK" w:hAnsi="方正书宋_GBK"/>
          <w:color w:val="000000"/>
          <w:sz w:val="22"/>
          <w:szCs w:val="22"/>
        </w:rPr>
        <w:t>人在</w:t>
      </w:r>
      <w:r>
        <w:rPr>
          <w:rFonts w:ascii="方正书宋_GBK" w:hAnsi="方正书宋_GBK" w:cs="方正书宋_GBK" w:eastAsia="方正书宋_GBK"/>
          <w:color w:val="000000"/>
          <w:sz w:val="22"/>
          <w:szCs w:val="22"/>
        </w:rPr>
        <w:t>签订合同前, 仔细</w:t>
      </w:r>
      <w:r>
        <w:rPr>
          <w:rFonts w:eastAsia="方正书宋_GBK" w:cs="方正书宋_GBK" w:ascii="方正书宋_GBK" w:hAnsi="方正书宋_GBK"/>
          <w:color w:val="000000"/>
          <w:sz w:val="22"/>
          <w:szCs w:val="22"/>
        </w:rPr>
        <w:t>阅读</w:t>
      </w:r>
      <w:r>
        <w:rPr>
          <w:rFonts w:ascii="方正书宋_GBK" w:hAnsi="方正书宋_GBK" w:cs="方正书宋_GBK" w:eastAsia="方正书宋_GBK"/>
          <w:color w:val="000000"/>
          <w:sz w:val="22"/>
          <w:szCs w:val="22"/>
        </w:rPr>
        <w:t>此文本各项条款。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3.“1.</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为选择适用</w:t>
      </w:r>
      <w:r>
        <w:rPr>
          <w:rFonts w:ascii="方正书宋_GBK" w:hAnsi="方正书宋_GBK" w:cs="方正书宋_GBK" w:eastAsia="方正书宋_GBK"/>
          <w:color w:val="000000"/>
          <w:sz w:val="22"/>
          <w:szCs w:val="22"/>
        </w:rPr>
        <w:t>内容,当事人应</w:t>
      </w:r>
      <w:r>
        <w:rPr>
          <w:rFonts w:eastAsia="方正书宋_GBK" w:cs="方正书宋_GBK" w:ascii="方正书宋_GBK" w:hAnsi="方正书宋_GBK"/>
          <w:color w:val="000000"/>
          <w:sz w:val="22"/>
          <w:szCs w:val="22"/>
        </w:rPr>
        <w:t>根</w:t>
      </w:r>
      <w:r>
        <w:rPr>
          <w:rFonts w:ascii="方正书宋_GBK" w:hAnsi="方正书宋_GBK" w:cs="方正书宋_GBK" w:eastAsia="方正书宋_GBK"/>
          <w:color w:val="000000"/>
          <w:sz w:val="22"/>
          <w:szCs w:val="22"/>
        </w:rPr>
        <w:t>据实际情况.在“□”</w:t>
      </w:r>
      <w:r>
        <w:rPr>
          <w:rFonts w:eastAsia="方正书宋_GBK" w:cs="方正书宋_GBK" w:ascii="方正书宋_GBK" w:hAnsi="方正书宋_GBK"/>
          <w:color w:val="000000"/>
          <w:sz w:val="22"/>
          <w:szCs w:val="22"/>
        </w:rPr>
        <w:t>中</w:t>
      </w:r>
      <w:r>
        <w:rPr>
          <w:rFonts w:ascii="方正书宋_GBK" w:hAnsi="方正书宋_GBK" w:cs="方正书宋_GBK" w:eastAsia="方正书宋_GBK"/>
          <w:color w:val="000000"/>
          <w:sz w:val="22"/>
          <w:szCs w:val="22"/>
        </w:rPr>
        <w:t>画“√”进行选择。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4.争议解</w:t>
      </w:r>
      <w:r>
        <w:rPr>
          <w:rFonts w:eastAsia="方正书宋_GBK" w:cs="方正书宋_GBK" w:ascii="方正书宋_GBK" w:hAnsi="方正书宋_GBK"/>
          <w:color w:val="000000"/>
          <w:sz w:val="22"/>
          <w:szCs w:val="22"/>
        </w:rPr>
        <w:t>决方</w:t>
      </w:r>
      <w:r>
        <w:rPr>
          <w:rFonts w:ascii="方正书宋_GBK" w:hAnsi="方正书宋_GBK" w:cs="方正书宋_GBK" w:eastAsia="方正书宋_GBK"/>
          <w:color w:val="000000"/>
          <w:sz w:val="22"/>
          <w:szCs w:val="22"/>
        </w:rPr>
        <w:t>式条款中“仲裁”、“诉讼”只能选择其一。如选择仲裁条款，应写明选择的{仲裁机构}。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当事人</w:t>
      </w:r>
      <w:r>
        <w:rPr>
          <w:rFonts w:eastAsia="方正书宋_GBK" w:cs="方正书宋_GBK" w:ascii="方正书宋_GBK" w:hAnsi="方正书宋_GBK"/>
          <w:color w:val="000000"/>
          <w:sz w:val="22"/>
          <w:szCs w:val="22"/>
        </w:rPr>
        <w:t>不得以</w:t>
      </w:r>
      <w:r>
        <w:rPr>
          <w:rFonts w:ascii="方正书宋_GBK" w:hAnsi="方正书宋_GBK" w:cs="方正书宋_GBK" w:eastAsia="方正书宋_GBK"/>
          <w:color w:val="000000"/>
          <w:sz w:val="22"/>
          <w:szCs w:val="22"/>
        </w:rPr>
        <w:t>保密约定的事项对抗国家行政、司法机关代表国家依法行使职权的行为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6.若对合</w:t>
      </w:r>
      <w:r>
        <w:rPr>
          <w:rFonts w:eastAsia="方正书宋_GBK" w:cs="方正书宋_GBK" w:ascii="方正书宋_GBK" w:hAnsi="方正书宋_GBK"/>
          <w:color w:val="000000"/>
          <w:sz w:val="22"/>
          <w:szCs w:val="22"/>
        </w:rPr>
        <w:t>同条</w:t>
      </w:r>
      <w:r>
        <w:rPr>
          <w:rFonts w:ascii="方正书宋_GBK" w:hAnsi="方正书宋_GBK" w:cs="方正书宋_GBK" w:eastAsia="方正书宋_GBK"/>
          <w:color w:val="000000"/>
          <w:sz w:val="22"/>
          <w:szCs w:val="22"/>
        </w:rPr>
        <w:t>款进行补充、修改，可作为附件,{附件名</w:t>
      </w:r>
      <w:r>
        <w:rPr>
          <w:rFonts w:eastAsia="方正书宋_GBK" w:cs="方正书宋_GBK" w:ascii="方正书宋_GBK" w:hAnsi="方正书宋_GBK"/>
          <w:color w:val="000000"/>
          <w:sz w:val="22"/>
          <w:szCs w:val="22"/>
        </w:rPr>
        <w:t>称</w:t>
      </w:r>
      <w:r>
        <w:rPr>
          <w:rFonts w:ascii="方正书宋_GBK" w:hAnsi="方正书宋_GBK" w:cs="方正书宋_GBK" w:eastAsia="方正书宋_GBK"/>
          <w:color w:val="000000"/>
          <w:sz w:val="22"/>
          <w:szCs w:val="22"/>
        </w:rPr>
        <w:t>},附件为此合同的组成</w:t>
      </w:r>
      <w:r>
        <w:rPr>
          <w:rFonts w:eastAsia="方正书宋_GBK" w:cs="方正书宋_GBK" w:ascii="方正书宋_GBK" w:hAnsi="方正书宋_GBK"/>
          <w:color w:val="000000"/>
          <w:sz w:val="22"/>
          <w:szCs w:val="22"/>
        </w:rPr>
        <w:t>部</w:t>
      </w:r>
      <w:r>
        <w:rPr>
          <w:rFonts w:ascii="方正书宋_GBK" w:hAnsi="方正书宋_GBK" w:cs="方正书宋_GBK" w:eastAsia="方正书宋_GBK"/>
          <w:color w:val="000000"/>
          <w:sz w:val="22"/>
          <w:szCs w:val="22"/>
        </w:rPr>
        <w:t>分,具有同等的法律数力。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7．该合</w:t>
      </w:r>
      <w:r>
        <w:rPr>
          <w:rFonts w:eastAsia="方正书宋_GBK" w:cs="方正书宋_GBK" w:ascii="方正书宋_GBK" w:hAnsi="方正书宋_GBK"/>
          <w:color w:val="000000"/>
          <w:sz w:val="22"/>
          <w:szCs w:val="22"/>
        </w:rPr>
        <w:t>同</w:t>
      </w:r>
      <w:r>
        <w:rPr>
          <w:rFonts w:ascii="方正书宋_GBK" w:hAnsi="方正书宋_GBK" w:cs="方正书宋_GBK" w:eastAsia="方正书宋_GBK"/>
          <w:color w:val="000000"/>
          <w:sz w:val="22"/>
          <w:szCs w:val="22"/>
        </w:rPr>
        <w:t>文本供当事人参照使用。</w:t>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ind w:firstLine="640" w:end="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spacing w:lineRule="exact" w:line="560"/>
        <w:rPr>
          <w:rFonts w:ascii="Times New Roman" w:hAnsi="Times New Roman" w:eastAsia="仿宋_GB2312;仿宋" w:cs="Times New Roman"/>
          <w:color w:val="000000"/>
          <w:sz w:val="32"/>
          <w:szCs w:val="32"/>
        </w:rPr>
      </w:pPr>
      <w:r>
        <w:rPr>
          <w:rFonts w:eastAsia="仿宋_GB2312;仿宋" w:cs="Times New Roman" w:ascii="Times New Roman" w:hAnsi="Times New Roman"/>
          <w:color w:val="000000"/>
          <w:sz w:val="32"/>
          <w:szCs w:val="32"/>
        </w:rPr>
      </w:r>
    </w:p>
    <w:p>
      <w:pPr>
        <w:pStyle w:val="Normal"/>
        <w:jc w:val="center"/>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天津市委托拍卖合同</w:t>
      </w:r>
    </w:p>
    <w:p>
      <w:pPr>
        <w:pStyle w:val="Normal"/>
        <w:spacing w:lineRule="exact" w:line="560"/>
        <w:ind w:firstLine="640" w:end="0"/>
        <w:rPr>
          <w:rFonts w:ascii="Times New Roman" w:hAnsi="Times New Roman" w:eastAsia="仿宋_GB2312;仿宋" w:cs="Times New Roman"/>
          <w:b/>
          <w:color w:val="000000"/>
          <w:sz w:val="32"/>
          <w:szCs w:val="32"/>
        </w:rPr>
      </w:pPr>
      <w:r>
        <w:rPr>
          <w:rFonts w:eastAsia="仿宋_GB2312;仿宋" w:cs="Times New Roman" w:ascii="Times New Roman" w:hAnsi="Times New Roman"/>
          <w:b/>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委托人：</w:t>
      </w:r>
      <w:r>
        <w:rPr>
          <w:rFonts w:ascii="方正书宋_GBK" w:hAnsi="方正书宋_GBK" w:cs="方正书宋_GBK" w:eastAsia="方正书宋_GBK"/>
          <w:b/>
          <w:color w:val="000000"/>
          <w:sz w:val="22"/>
          <w:szCs w:val="22"/>
          <w:u w:val="single"/>
        </w:rPr>
        <w:t>{委托人姓名}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拍卖人：</w:t>
      </w:r>
      <w:r>
        <w:rPr>
          <w:rFonts w:ascii="方正书宋_GBK" w:hAnsi="方正书宋_GBK" w:cs="方正书宋_GBK" w:eastAsia="方正书宋_GBK"/>
          <w:b/>
          <w:color w:val="000000"/>
          <w:sz w:val="22"/>
          <w:szCs w:val="22"/>
          <w:u w:val="single"/>
        </w:rPr>
        <w:t>{拍卖人名称}</w:t>
      </w:r>
      <w:r>
        <w:rPr>
          <w:rFonts w:ascii="方正书宋_GBK" w:hAnsi="方正书宋_GBK" w:cs="方正书宋_GBK" w:eastAsia="方正书宋_GBK"/>
          <w:b/>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根据《中华人民共和国拍卖法》，《中华人民共和国合同法》以及其他有关法律法规的规定，在平等、自愿、公平、诚实信用原则的基础上，经协商一致，签订本合同。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一、拍卖标的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委托人自愿委托拍卖人依法拍卖如下标的：</w:t>
      </w:r>
      <w:r>
        <w:rPr>
          <w:rFonts w:ascii="方正书宋_GBK" w:hAnsi="方正书宋_GBK" w:cs="方正书宋_GBK" w:eastAsia="方正书宋_GBK"/>
          <w:color w:val="000000"/>
          <w:sz w:val="22"/>
          <w:szCs w:val="22"/>
          <w:u w:val="single"/>
        </w:rPr>
        <w:t>{拍卖标的}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委托人保证对拍卖标的拥有无争议的所有权（处分权），并根据拍卖人的要求提供拍卖标的有关证明和相关资料，说明知道或应当知道的瑕疵。</w:t>
      </w:r>
    </w:p>
    <w:p>
      <w:pPr>
        <w:pStyle w:val="Normal"/>
        <w:keepNext w:val="false"/>
        <w:keepLines w:val="false"/>
        <w:pageBreakBefore w:val="false"/>
        <w:widowControl w:val="false"/>
        <w:kinsoku w:val="true"/>
        <w:overflowPunct w:val="true"/>
        <w:autoSpaceDE w:val="true"/>
        <w:bidi w:val="0"/>
        <w:snapToGrid w:val="true"/>
        <w:spacing w:lineRule="exact" w:line="420"/>
        <w:ind w:firstLine="330" w:start="16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拍卖人认为需要对拍卖标的进行评估的，可以委托</w:t>
      </w:r>
      <w:r>
        <w:rPr>
          <w:rFonts w:ascii="方正书宋_GBK" w:hAnsi="方正书宋_GBK" w:cs="方正书宋_GBK" w:eastAsia="方正书宋_GBK"/>
          <w:color w:val="000000"/>
          <w:sz w:val="22"/>
          <w:szCs w:val="22"/>
          <w:u w:val="single"/>
        </w:rPr>
        <w:t xml:space="preserve">   {评估机构}   进行评估。</w:t>
      </w:r>
    </w:p>
    <w:p>
      <w:pPr>
        <w:pStyle w:val="Normal"/>
        <w:keepNext w:val="false"/>
        <w:keepLines w:val="false"/>
        <w:pageBreakBefore w:val="false"/>
        <w:widowControl w:val="false"/>
        <w:kinsoku w:val="true"/>
        <w:overflowPunct w:val="true"/>
        <w:autoSpaceDE w:val="true"/>
        <w:bidi w:val="0"/>
        <w:snapToGrid w:val="true"/>
        <w:spacing w:lineRule="exact" w:line="420"/>
        <w:ind w:hanging="110" w:start="1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评估费用由 {承担方} 承担。</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拍卖人认为需要对拍卖标的进行鉴定的，可以选择：</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自行鉴定。</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w:t>
      </w:r>
      <w:r>
        <w:rPr>
          <w:rFonts w:ascii="方正书宋_GBK" w:hAnsi="方正书宋_GBK" w:cs="方正书宋_GBK" w:eastAsia="方正书宋_GBK"/>
          <w:color w:val="000000"/>
          <w:sz w:val="22"/>
          <w:szCs w:val="22"/>
          <w:u w:val="single"/>
        </w:rPr>
        <w:t>{事项}鉴定。</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鉴定费用由</w:t>
      </w:r>
      <w:r>
        <w:rPr>
          <w:rFonts w:ascii="方正书宋_GBK" w:hAnsi="方正书宋_GBK" w:cs="方正书宋_GBK" w:eastAsia="方正书宋_GBK"/>
          <w:color w:val="000000"/>
          <w:sz w:val="22"/>
          <w:szCs w:val="22"/>
          <w:u w:val="single"/>
        </w:rPr>
        <w:t xml:space="preserve"> {承担方} </w:t>
      </w:r>
      <w:r>
        <w:rPr>
          <w:rFonts w:ascii="方正书宋_GBK" w:hAnsi="方正书宋_GBK" w:cs="方正书宋_GBK" w:eastAsia="方正书宋_GBK"/>
          <w:color w:val="000000"/>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鉴定结论与委托人声明的拍卖标的状况不相符的，拍卖人有权要求变更或解除合同。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二、拍卖标的的交付时间、地点、方式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委托人应于</w:t>
      </w:r>
      <w:r>
        <w:rPr>
          <w:rFonts w:ascii="方正书宋_GBK" w:hAnsi="方正书宋_GBK" w:cs="方正书宋_GBK" w:eastAsia="方正书宋_GBK"/>
          <w:color w:val="000000"/>
          <w:sz w:val="22"/>
          <w:szCs w:val="22"/>
          <w:u w:val="single"/>
        </w:rPr>
        <w:t>{年份}</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{月份}</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{日期}</w:t>
      </w:r>
      <w:r>
        <w:rPr>
          <w:rFonts w:ascii="方正书宋_GBK" w:hAnsi="方正书宋_GBK" w:cs="方正书宋_GBK" w:eastAsia="方正书宋_GBK"/>
          <w:color w:val="000000"/>
          <w:sz w:val="22"/>
          <w:szCs w:val="22"/>
        </w:rPr>
        <w:t>日前将本合同所载拍卖标的交付给拍卖人，交付地点：</w:t>
      </w:r>
      <w:r>
        <w:rPr>
          <w:rFonts w:ascii="方正书宋_GBK" w:hAnsi="方正书宋_GBK" w:cs="方正书宋_GBK" w:eastAsia="方正书宋_GBK"/>
          <w:color w:val="000000"/>
          <w:sz w:val="22"/>
          <w:szCs w:val="22"/>
          <w:u w:val="single"/>
        </w:rPr>
        <w:t>{交付地点}，交付</w:t>
      </w:r>
      <w:r>
        <w:rPr>
          <w:rFonts w:ascii="方正书宋_GBK" w:hAnsi="方正书宋_GBK" w:cs="方正书宋_GBK" w:eastAsia="方正书宋_GBK"/>
          <w:color w:val="000000"/>
          <w:sz w:val="22"/>
          <w:szCs w:val="22"/>
        </w:rPr>
        <w:t>方式：{交付方</w:t>
      </w:r>
      <w:r>
        <w:rPr>
          <w:rFonts w:ascii="方正书宋_GBK" w:hAnsi="方正书宋_GBK" w:cs="方正书宋_GBK" w:eastAsia="方正书宋_GBK"/>
          <w:color w:val="000000"/>
          <w:sz w:val="22"/>
          <w:szCs w:val="22"/>
          <w:u w:val="single"/>
        </w:rPr>
        <w:t>式}，交付后的保管费用由{保</w:t>
      </w:r>
      <w:r>
        <w:rPr>
          <w:rFonts w:ascii="方正书宋_GBK" w:hAnsi="方正书宋_GBK" w:cs="方正书宋_GBK" w:eastAsia="方正书宋_GBK"/>
          <w:color w:val="000000"/>
          <w:sz w:val="22"/>
          <w:szCs w:val="22"/>
        </w:rPr>
        <w:t>管方}承担。</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拍卖标的于拍卖成交后，经拍卖人监督由委托人交付（转移）给买受人。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三、拍卖方式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增价拍卖。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减价拍卖。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无估价拍卖。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密封式招标拍卖。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{其他内容}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四、拍卖形式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现场拍卖。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网络拍卖。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五、拍卖期限及地点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拍卖人应</w:t>
      </w:r>
      <w:r>
        <w:rPr>
          <w:rFonts w:ascii="方正书宋_GBK" w:hAnsi="方正书宋_GBK" w:cs="方正书宋_GBK" w:eastAsia="方正书宋_GBK"/>
          <w:color w:val="000000"/>
          <w:sz w:val="22"/>
          <w:szCs w:val="22"/>
        </w:rPr>
        <w:t>于 {年份</w:t>
      </w:r>
      <w:r>
        <w:rPr>
          <w:rFonts w:ascii="方正书宋_GBK" w:hAnsi="方正书宋_GBK" w:cs="方正书宋_GBK" w:eastAsia="方正书宋_GBK"/>
          <w:color w:val="000000"/>
          <w:sz w:val="22"/>
          <w:szCs w:val="22"/>
          <w:u w:val="single"/>
        </w:rPr>
        <w:t>} 年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份}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日期} </w:t>
      </w:r>
      <w:r>
        <w:rPr>
          <w:rFonts w:ascii="方正书宋_GBK" w:hAnsi="方正书宋_GBK" w:cs="方正书宋_GBK" w:eastAsia="方正书宋_GBK"/>
          <w:color w:val="000000"/>
          <w:sz w:val="22"/>
          <w:szCs w:val="22"/>
          <w:u w:val="single"/>
        </w:rPr>
        <w:t xml:space="preserve">日之前在 {举办地点} </w:t>
      </w:r>
      <w:r>
        <w:rPr>
          <w:rFonts w:ascii="方正书宋_GBK" w:hAnsi="方正书宋_GBK" w:cs="方正书宋_GBK" w:eastAsia="方正书宋_GBK"/>
          <w:color w:val="000000"/>
          <w:sz w:val="22"/>
          <w:szCs w:val="22"/>
        </w:rPr>
        <w:t>举办拍卖会，对本合同拍卖标的进行拍卖。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六、佣金、费用及支付方式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拍卖标的经拍卖成交的，委托人按拍卖成交总额</w:t>
      </w:r>
      <w:r>
        <w:rPr>
          <w:rFonts w:ascii="方正书宋_GBK" w:hAnsi="方正书宋_GBK" w:cs="方正书宋_GBK" w:eastAsia="方正书宋_GBK"/>
          <w:color w:val="000000"/>
          <w:sz w:val="22"/>
          <w:szCs w:val="22"/>
          <w:u w:val="single"/>
        </w:rPr>
        <w:t xml:space="preserve"> {佣金比</w:t>
      </w:r>
      <w:r>
        <w:rPr>
          <w:rFonts w:eastAsia="方正书宋_GBK" w:cs="方正书宋_GBK" w:ascii="方正书宋_GBK" w:hAnsi="方正书宋_GBK"/>
          <w:color w:val="000000"/>
          <w:sz w:val="22"/>
          <w:szCs w:val="22"/>
        </w:rPr>
        <w:t>例</w:t>
      </w:r>
      <w:r>
        <w:rPr>
          <w:rFonts w:ascii="方正书宋_GBK" w:hAnsi="方正书宋_GBK" w:cs="方正书宋_GBK" w:eastAsia="方正书宋_GBK"/>
          <w:color w:val="000000"/>
          <w:sz w:val="22"/>
          <w:szCs w:val="22"/>
        </w:rPr>
        <w:t>}%的比例向拍卖人支付佣金。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支付方式：{支付方式}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拍卖人直接从拍卖价款中扣除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委托人直接支付给拍卖人。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拍卖标的未成交的，委托人向拍卖人支付用于标的物进行评估、鉴定、仓储保管、保险、公告、广告等费用，为保留价的</w:t>
      </w:r>
      <w:r>
        <w:rPr>
          <w:rFonts w:ascii="方正书宋_GBK" w:hAnsi="方正书宋_GBK" w:cs="方正书宋_GBK" w:eastAsia="方正书宋_GBK"/>
          <w:color w:val="000000"/>
          <w:sz w:val="22"/>
          <w:szCs w:val="22"/>
          <w:u w:val="single"/>
        </w:rPr>
        <w:t xml:space="preserve"> {百分比}‰。</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七、价款的支付方式、期限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拍卖标的经拍卖成交后，拍卖人应在交割之日起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{工作日}   日内将拍卖成交款支付给委托</w:t>
      </w:r>
      <w:r>
        <w:rPr>
          <w:rFonts w:ascii="方正书宋_GBK" w:hAnsi="方正书宋_GBK" w:cs="方正书宋_GBK" w:eastAsia="方正书宋_GBK"/>
          <w:color w:val="000000"/>
          <w:sz w:val="22"/>
          <w:szCs w:val="22"/>
          <w:u w:val="single"/>
        </w:rPr>
        <w:t xml:space="preserve">人，支付方式为：   </w:t>
      </w:r>
      <w:r>
        <w:rPr>
          <w:rFonts w:ascii="方正书宋_GBK" w:hAnsi="方正书宋_GBK" w:cs="方正书宋_GBK" w:eastAsia="方正书宋_GBK"/>
          <w:color w:val="000000"/>
          <w:sz w:val="22"/>
          <w:szCs w:val="22"/>
        </w:rPr>
        <w:t xml:space="preserve">          {付款方式}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请提供需要修改的文本，我将根据要求进行处理。</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委托人在拍卖开始前可以撤回拍卖标的。委托人撤回拍卖标的的应当向拍卖人支付合理费用，为保留价的</w:t>
      </w:r>
      <w:r>
        <w:rPr>
          <w:rFonts w:ascii="方正书宋_GBK" w:hAnsi="方正书宋_GBK" w:cs="方正书宋_GBK" w:eastAsia="方正书宋_GBK"/>
          <w:color w:val="000000"/>
          <w:sz w:val="22"/>
          <w:szCs w:val="22"/>
          <w:u w:val="single"/>
        </w:rPr>
        <w:t>{{费用比</w:t>
      </w:r>
      <w:r>
        <w:rPr>
          <w:rFonts w:ascii="方正书宋_GBK" w:hAnsi="方正书宋_GBK" w:cs="方正书宋_GBK" w:eastAsia="方正书宋_GBK"/>
          <w:color w:val="000000"/>
          <w:sz w:val="22"/>
          <w:szCs w:val="22"/>
        </w:rPr>
        <w:t>例}}‰。</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八、拍卖标的未成交的约定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因未成交或买受人未按约定交割等不可归责于拍卖人的原因致使拍卖标的未成交的，委托人与拍卖人可以选择：{选择内容}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续签合同。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双方约定解除合同的，委托人应在接到拍卖人通知之日起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{约定天数} 日内领回拍卖标的，超</w:t>
      </w:r>
      <w:r>
        <w:rPr>
          <w:rFonts w:ascii="方正书宋_GBK" w:hAnsi="方正书宋_GBK" w:cs="方正书宋_GBK" w:eastAsia="方正书宋_GBK"/>
          <w:color w:val="000000"/>
          <w:sz w:val="22"/>
          <w:szCs w:val="22"/>
          <w:u w:val="single"/>
        </w:rPr>
        <w:t xml:space="preserve">过期限未领的，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九、保密约定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拍卖人应对委托人身份、拍卖标的保留价及</w:t>
      </w:r>
      <w:r>
        <w:rPr>
          <w:rFonts w:ascii="方正书宋_GBK" w:hAnsi="方正书宋_GBK" w:cs="方正书宋_GBK" w:eastAsia="方正书宋_GBK"/>
          <w:color w:val="000000"/>
          <w:sz w:val="22"/>
          <w:szCs w:val="22"/>
          <w:u w:val="single"/>
        </w:rPr>
        <w:t>{保密信息}负</w:t>
      </w:r>
      <w:r>
        <w:rPr>
          <w:rFonts w:ascii="方正书宋_GBK" w:hAnsi="方正书宋_GBK" w:cs="方正书宋_GBK" w:eastAsia="方正书宋_GBK"/>
          <w:color w:val="000000"/>
          <w:sz w:val="22"/>
          <w:szCs w:val="22"/>
        </w:rPr>
        <w:t>责保密。</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委托人故意隐瞒委托拍卖其没有所有权和依法不得处分的拍卖标的物品或财产权利的，应依法承担责任，并赔偿拍卖人因此所造成的损失。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委托人对其拍卖标的瑕疵未向拍卖人说明造成损失的，应由委托人承担损害赔偿责任。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拍卖人逾期向委托人支付拍卖标的成交价款的，应向委托人每日支付应付价款万分之五的违约金。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拍卖人违反合同约定泄露拍卖保留价的，应向委托人按拍卖保留价的</w:t>
      </w:r>
      <w:r>
        <w:rPr>
          <w:rFonts w:ascii="方正书宋_GBK" w:hAnsi="方正书宋_GBK" w:cs="方正书宋_GBK" w:eastAsia="方正书宋_GBK"/>
          <w:color w:val="000000"/>
          <w:sz w:val="22"/>
          <w:szCs w:val="22"/>
          <w:u w:val="single"/>
        </w:rPr>
        <w:t>{百分比</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}%支付违约金；委托人违反合同约定泄露拍卖保留价，致使拍卖标的不能成交的，应向拍卖人按拍卖保留</w:t>
      </w:r>
      <w:r>
        <w:rPr>
          <w:rFonts w:ascii="方正书宋_GBK" w:hAnsi="方正书宋_GBK" w:cs="方正书宋_GBK" w:eastAsia="方正书宋_GBK"/>
          <w:color w:val="000000"/>
          <w:sz w:val="22"/>
          <w:szCs w:val="22"/>
          <w:u w:val="single"/>
        </w:rPr>
        <w:t>价的{</w:t>
      </w:r>
      <w:r>
        <w:rPr>
          <w:rFonts w:eastAsia="方正书宋_GBK" w:cs="方正书宋_GBK" w:ascii="方正书宋_GBK" w:hAnsi="方正书宋_GBK"/>
          <w:color w:val="000000"/>
          <w:sz w:val="22"/>
          <w:szCs w:val="22"/>
        </w:rPr>
        <w:t>百</w:t>
      </w:r>
      <w:r>
        <w:rPr>
          <w:rFonts w:ascii="方正书宋_GBK" w:hAnsi="方正书宋_GBK" w:cs="方正书宋_GBK" w:eastAsia="方正书宋_GBK"/>
          <w:color w:val="000000"/>
          <w:sz w:val="22"/>
          <w:szCs w:val="22"/>
        </w:rPr>
        <w:t>分比2}%支付违约金。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拍卖人由于对拍卖标的保管不善造成损坏的，由双方按损坏程度协商解决；丢失的，拍卖人应按保留价负责赔偿。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十一、争议解决方式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以下是我给出的文本：</w:t>
        <w:br/>
        <w:t>双方在履行合同中发生的争议，由双方协商解决。协商</w:t>
      </w:r>
      <w:r>
        <w:rPr>
          <w:rFonts w:ascii="方正书宋_GBK" w:hAnsi="方正书宋_GBK" w:cs="方正书宋_GBK" w:eastAsia="方正书宋_GBK"/>
          <w:color w:val="000000"/>
          <w:sz w:val="22"/>
          <w:szCs w:val="22"/>
          <w:u w:val="single"/>
        </w:rPr>
        <w:t>不成的双方</w:t>
      </w:r>
      <w:r>
        <w:rPr>
          <w:rFonts w:ascii="方正书宋_GBK" w:hAnsi="方正书宋_GBK" w:cs="方正书宋_GBK" w:eastAsia="方正书宋_GBK"/>
          <w:color w:val="000000"/>
          <w:sz w:val="22"/>
          <w:szCs w:val="22"/>
        </w:rPr>
        <w:t>同意按以下第{争议解决方式}种方式解决：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{仲裁委员会} 申</w:t>
      </w:r>
      <w:r>
        <w:rPr>
          <w:rFonts w:ascii="方正书宋_GBK" w:hAnsi="方正书宋_GBK" w:cs="方正书宋_GBK" w:eastAsia="方正书宋_GBK"/>
          <w:color w:val="000000"/>
          <w:sz w:val="22"/>
          <w:szCs w:val="22"/>
        </w:rPr>
        <w:t>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十二、其他约定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委托人不得参与拍卖竞买，也不得委托他人代为竞买本合同拍卖标的。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拍卖人不得参与或委托他人竞买，也不得擅自将拍卖标的委托他人进行拍卖。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eastAsia="方正书宋_GBK" w:cs="方正书宋_GBK" w:ascii="方正书宋_GBK" w:hAnsi="方正书宋_GBK"/>
          <w:color w:val="000000"/>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十三、附则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本合同与合同附件、补充协议具有同等法律效力。本合同经双方当事人{签字（盖章）}、{签字（盖章）}之日起生效。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{{份数</w:t>
      </w:r>
      <w:r>
        <w:rPr>
          <w:rFonts w:ascii="方正书宋_GBK" w:hAnsi="方正书宋_GBK" w:cs="方正书宋_GBK" w:eastAsia="方正书宋_GBK"/>
          <w:color w:val="000000"/>
          <w:sz w:val="22"/>
          <w:szCs w:val="22"/>
        </w:rPr>
        <w:t>}}份，其中委</w:t>
      </w:r>
      <w:r>
        <w:rPr>
          <w:rFonts w:ascii="方正书宋_GBK" w:hAnsi="方正书宋_GBK" w:cs="方正书宋_GBK" w:eastAsia="方正书宋_GBK"/>
          <w:color w:val="000000"/>
          <w:sz w:val="22"/>
          <w:szCs w:val="22"/>
          <w:u w:val="single"/>
        </w:rPr>
        <w:t>托人{{</w:t>
      </w:r>
      <w:r>
        <w:rPr>
          <w:rFonts w:ascii="方正书宋_GBK" w:hAnsi="方正书宋_GBK" w:cs="方正书宋_GBK" w:eastAsia="方正书宋_GBK"/>
          <w:color w:val="000000"/>
          <w:sz w:val="22"/>
          <w:szCs w:val="22"/>
        </w:rPr>
        <w:t>委托人份数</w:t>
      </w:r>
      <w:r>
        <w:rPr>
          <w:rFonts w:ascii="方正书宋_GBK" w:hAnsi="方正书宋_GBK" w:cs="方正书宋_GBK" w:eastAsia="方正书宋_GBK"/>
          <w:color w:val="000000"/>
          <w:sz w:val="22"/>
          <w:szCs w:val="22"/>
          <w:u w:val="single"/>
        </w:rPr>
        <w:t>}}份，</w:t>
      </w:r>
      <w:r>
        <w:rPr>
          <w:rFonts w:ascii="方正书宋_GBK" w:hAnsi="方正书宋_GBK" w:cs="方正书宋_GBK" w:eastAsia="方正书宋_GBK"/>
          <w:color w:val="000000"/>
          <w:sz w:val="22"/>
          <w:szCs w:val="22"/>
        </w:rPr>
        <w:t>拍卖人{{拍卖人份数}}份，均具有同等法律效力。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盖章）：{委托人签字盖章}      拍卖人（盖章）：{拍卖人盖章}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pacing w:val="-40"/>
          <w:sz w:val="22"/>
          <w:szCs w:val="22"/>
        </w:rPr>
        <w:t>身份证号码</w:t>
      </w:r>
      <w:r>
        <w:rPr>
          <w:rFonts w:eastAsia="方正书宋_GBK" w:cs="方正书宋_GBK" w:ascii="方正书宋_GBK" w:hAnsi="方正书宋_GBK"/>
          <w:color w:val="000000"/>
          <w:spacing w:val="-40"/>
          <w:sz w:val="22"/>
          <w:szCs w:val="22"/>
        </w:rPr>
        <w:t>\</w:t>
      </w:r>
      <w:r>
        <w:rPr>
          <w:rFonts w:ascii="方正书宋_GBK" w:hAnsi="方正书宋_GBK" w:cs="方正书宋_GBK" w:eastAsia="方正书宋_GBK"/>
          <w:color w:val="000000"/>
          <w:spacing w:val="-40"/>
          <w:sz w:val="22"/>
          <w:szCs w:val="22"/>
        </w:rPr>
        <w:t>统一社会信用代码</w:t>
      </w:r>
      <w:r>
        <w:rPr>
          <w:rFonts w:ascii="方正书宋_GBK" w:hAnsi="方正书宋_GBK" w:cs="方正书宋_GBK" w:eastAsia="方正书宋_GBK"/>
          <w:color w:val="000000"/>
          <w:sz w:val="22"/>
          <w:szCs w:val="22"/>
        </w:rPr>
        <w:t xml:space="preserve">：{身份证号码/统一社会信用代码}  </w:t>
        <w:br/>
        <w:t>统一社会信用代码：{统一社会信用代码}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住所：{住所}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法定代表人（签字）：{法定代表人签字1}               法定代表人（签字）：{法定代表人签字2}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委托代理人（签字）：{委托代理人1}              委托代理人（签字）：{委托代理人2}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传真：{传真号码}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帐号：{帐号}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签订日期：{签订日期}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签订地点：{签订地点}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2750" w:start="338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62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天津市拍卖行业协会</w:t>
      </w:r>
    </w:p>
    <w:p>
      <w:pPr>
        <w:pStyle w:val="Normal"/>
        <w:keepNext w:val="false"/>
        <w:keepLines w:val="false"/>
        <w:pageBreakBefore w:val="false"/>
        <w:widowControl w:val="false"/>
        <w:kinsoku w:val="true"/>
        <w:overflowPunct w:val="true"/>
        <w:autoSpaceDE w:val="true"/>
        <w:bidi w:val="0"/>
        <w:snapToGrid w:val="true"/>
        <w:spacing w:lineRule="exact" w:line="420"/>
        <w:ind w:firstLine="3780" w:end="0"/>
        <w:textAlignment w:val="auto"/>
        <w:rPr>
          <w:rFonts w:ascii="方正书宋_GBK" w:hAnsi="方正书宋_GBK" w:eastAsia="方正书宋_GBK" w:cs="方正书宋_GBK"/>
          <w:color w:val="000000"/>
          <w:spacing w:val="-20"/>
          <w:sz w:val="22"/>
          <w:szCs w:val="22"/>
        </w:rPr>
      </w:pPr>
      <w:r>
        <w:rPr>
          <w:rFonts w:ascii="方正书宋_GBK" w:hAnsi="方正书宋_GBK" w:cs="方正书宋_GBK" w:eastAsia="方正书宋_GBK"/>
          <w:color w:val="000000"/>
          <w:spacing w:val="-20"/>
          <w:sz w:val="22"/>
          <w:szCs w:val="22"/>
        </w:rPr>
        <w:t>地址：{地址}</w:t>
      </w:r>
      <w:r>
        <w:rPr>
          <w:rFonts w:eastAsia="方正书宋_GBK" w:cs="方正书宋_GBK" w:ascii="方正书宋_GBK" w:hAnsi="方正书宋_GBK"/>
          <w:color w:val="000000"/>
          <w:spacing w:val="-20"/>
          <w:sz w:val="22"/>
          <w:szCs w:val="22"/>
        </w:rPr>
      </w:r>
      <w:r>
        <w:rPr>
          <w:rFonts w:ascii="方正书宋_GBK" w:hAnsi="方正书宋_GBK" w:cs="方正书宋_GBK" w:eastAsia="方正书宋_GBK"/>
          <w:color w:val="000000"/>
          <w:spacing w:val="-20"/>
          <w:sz w:val="22"/>
          <w:szCs w:val="22"/>
        </w:rPr>
      </w:r>
      <w:r>
        <w:rPr>
          <w:rFonts w:eastAsia="方正书宋_GBK" w:cs="方正书宋_GBK" w:ascii="方正书宋_GBK" w:hAnsi="方正书宋_GBK"/>
          <w:color w:val="000000"/>
          <w:spacing w:val="-20"/>
          <w:sz w:val="22"/>
          <w:szCs w:val="22"/>
        </w:rPr>
      </w:r>
      <w:r>
        <w:rPr>
          <w:rFonts w:ascii="方正书宋_GBK" w:hAnsi="方正书宋_GBK" w:cs="方正书宋_GBK" w:eastAsia="方正书宋_GBK"/>
          <w:color w:val="000000"/>
          <w:spacing w:val="-20"/>
          <w:sz w:val="22"/>
          <w:szCs w:val="22"/>
        </w:rPr>
      </w:r>
      <w:r>
        <w:rPr>
          <w:rFonts w:eastAsia="方正书宋_GBK" w:cs="方正书宋_GBK" w:ascii="方正书宋_GBK" w:hAnsi="方正书宋_GBK"/>
          <w:color w:val="000000"/>
          <w:spacing w:val="-20"/>
          <w:sz w:val="22"/>
          <w:szCs w:val="22"/>
        </w:rPr>
      </w:r>
      <w:r>
        <w:rPr>
          <w:rFonts w:ascii="方正书宋_GBK" w:hAnsi="方正书宋_GBK" w:cs="方正书宋_GBK" w:eastAsia="方正书宋_GBK"/>
          <w:color w:val="000000"/>
          <w:spacing w:val="-2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17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w:t>
      </w:r>
      <w:r>
        <w:rPr>
          <w:rFonts w:eastAsia="方正书宋_GBK" w:cs="方正书宋_GBK" w:ascii="方正书宋_GBK" w:hAnsi="方正书宋_GBK"/>
          <w:color w:val="000000"/>
          <w:sz w:val="22"/>
          <w:szCs w:val="22"/>
        </w:rPr>
        <w:t>{联系电话}</w:t>
      </w:r>
    </w:p>
    <w:p>
      <w:pPr>
        <w:pStyle w:val="Normal"/>
        <w:rPr>
          <w:rFonts w:ascii="Times New Roman" w:hAnsi="Times New Roman" w:eastAsia="方正书宋_GBK" w:cs="Times New Roman"/>
          <w:color w:val="000000"/>
          <w:sz w:val="22"/>
          <w:szCs w:val="22"/>
        </w:rPr>
      </w:pPr>
      <w:r>
        <w:rPr>
          <w:rFonts w:eastAsia="方正书宋_GBK" w:cs="Times New Roman" w:ascii="Times New Roman" w:hAnsi="Times New Roman"/>
          <w:color w:val="000000"/>
          <w:sz w:val="22"/>
          <w:szCs w:val="22"/>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snapToGrid w:val="false"/>
        <w:spacing w:lineRule="exact" w:line="600"/>
        <w:rPr>
          <w:rFonts w:ascii="Times New Roman" w:hAnsi="Times New Roman" w:eastAsia="方正小标宋简体" w:cs="Times New Roman"/>
          <w:color w:val="000000"/>
          <w:sz w:val="44"/>
          <w:szCs w:val="44"/>
        </w:rPr>
      </w:pPr>
      <w:r>
        <w:rPr>
          <w:rFonts w:eastAsia="方正小标宋简体" w:cs="Times New Roman" w:ascii="Times New Roman" w:hAnsi="Times New Roman"/>
          <w:color w:val="000000"/>
          <w:sz w:val="44"/>
          <w:szCs w:val="44"/>
        </w:rPr>
      </w:r>
    </w:p>
    <w:sectPr>
      <w:footerReference w:type="even" r:id="rId2"/>
      <w:footerReference w:type="default" r:id="rId3"/>
      <w:type w:val="nextPage"/>
      <w:pgSz w:w="11906" w:h="16838"/>
      <w:pgMar w:left="1588" w:right="1474" w:gutter="0" w:header="0"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仿宋_GB2312">
    <w:altName w:val="仿宋"/>
    <w:charset w:val="86"/>
    <w:family w:val="modern"/>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page">
                <wp:posOffset>1172210</wp:posOffset>
              </wp:positionH>
              <wp:positionV relativeFrom="paragraph">
                <wp:posOffset>-217170</wp:posOffset>
              </wp:positionV>
              <wp:extent cx="686435"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6</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17.1pt;mso-position-vertical-relative:text;margin-left:92.3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6</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38"/>
      <w:jc w:val="end"/>
      <w:rPr>
        <w:sz w:val="28"/>
        <w:szCs w:val="28"/>
      </w:rPr>
    </w:pPr>
    <w:r>
      <w:rPr>
        <w:rFonts w:cs="仿宋_GB2312;仿宋"/>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5</w:t>
    </w:r>
    <w:r>
      <w:rPr>
        <w:sz w:val="28"/>
        <w:szCs w:val="28"/>
        <w:rFonts w:ascii="Times New Roman" w:hAnsi="Times New Roman"/>
      </w:rPr>
      <w:fldChar w:fldCharType="end"/>
    </w:r>
    <w:r>
      <w:rPr>
        <w:rFonts w:cs="仿宋_GB2312;仿宋"/>
        <w:sz w:val="28"/>
        <w:szCs w:val="28"/>
      </w:rPr>
      <w:t>—</w:t>
    </w:r>
  </w:p>
  <w:p>
    <w:pPr>
      <w:pStyle w:val="Footer"/>
      <w:ind w:end="360"/>
      <w:rPr>
        <w:sz w:val="28"/>
        <w:szCs w:val="28"/>
      </w:rPr>
    </w:pPr>
    <w:r>
      <w:rPr>
        <w:sz w:val="28"/>
        <w:szCs w:val="28"/>
      </w:rPr>
    </w:r>
  </w:p>
</w:ftr>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正文文本 Char"/>
    <w:qFormat/>
    <w:rPr>
      <w:rFonts w:ascii="Calibri" w:hAnsi="Calibri" w:eastAsia="宋体" w:cs="Times New Roman"/>
    </w:rPr>
  </w:style>
  <w:style w:type="character" w:styleId="Char1">
    <w:name w:val="页眉 Char"/>
    <w:qFormat/>
    <w:rPr>
      <w:kern w:val="2"/>
      <w:sz w:val="18"/>
      <w:szCs w:val="18"/>
    </w:rPr>
  </w:style>
  <w:style w:type="character" w:styleId="Char2">
    <w:name w:val="页脚 Char"/>
    <w:qFormat/>
    <w:rPr>
      <w:rFonts w:ascii="仿宋_GB2312;仿宋" w:hAnsi="仿宋_GB2312;仿宋" w:eastAsia="仿宋_GB2312;仿宋" w:cs="Times New Roman"/>
      <w:color w:val="000000"/>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CharCharCharCharCharChar1Char">
    <w:name w:val="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2019-12-17T15:32:00Z</dcterms:created>
  <dc:creator>管理员</dc:creator>
  <dc:description/>
  <dc:language>zh-CN</dc:language>
  <cp:lastModifiedBy>袁弘信</cp:lastModifiedBy>
  <dcterms:modified xsi:type="dcterms:W3CDTF">2022-02-18T17:43:33Z</dcterms:modified>
  <cp:revision>2</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