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color w:val="000000"/>
          <w:sz w:val="28"/>
          <w:szCs w:val="28"/>
        </w:rPr>
      </w:pPr>
      <w:r>
        <w:rPr>
          <w:rFonts w:eastAsia="仿宋_GB2312" w:cs="Times New Roman"/>
          <w:b/>
          <w:bCs/>
          <w:color w:val="000000"/>
          <w:sz w:val="28"/>
          <w:szCs w:val="28"/>
        </w:rPr>
        <w:t>SF—2013—0105</w:t>
      </w:r>
    </w:p>
    <w:p>
      <w:pPr>
        <w:pStyle w:val="Normal"/>
        <w:spacing w:lineRule="exact" w:line="480"/>
        <w:rPr>
          <w:rFonts w:ascii="华文中宋" w:hAnsi="华文中宋" w:eastAsia="华文中宋" w:cs="华文中宋"/>
          <w:b/>
          <w:bCs/>
          <w:color w:val="000000"/>
          <w:spacing w:val="16"/>
          <w:sz w:val="38"/>
          <w:szCs w:val="38"/>
        </w:rPr>
      </w:pPr>
      <w:r>
        <w:rPr>
          <w:rFonts w:eastAsia="华文中宋" w:cs="华文中宋" w:ascii="华文中宋" w:hAnsi="华文中宋"/>
          <w:b/>
          <w:bCs/>
          <w:color w:val="000000"/>
          <w:spacing w:val="16"/>
          <w:sz w:val="38"/>
          <w:szCs w:val="38"/>
        </w:rPr>
      </w:r>
    </w:p>
    <w:p>
      <w:pPr>
        <w:pStyle w:val="Normal"/>
        <w:spacing w:lineRule="exact" w:line="480"/>
        <w:jc w:val="center"/>
        <w:rPr>
          <w:rFonts w:ascii="华文中宋" w:hAnsi="华文中宋" w:eastAsia="华文中宋" w:cs="华文中宋"/>
          <w:color w:val="000000"/>
        </w:rPr>
      </w:pPr>
      <w:r>
        <w:rPr>
          <w:rFonts w:ascii="方正小标宋_GBK" w:hAnsi="方正小标宋_GBK" w:cs="方正小标宋_GBK" w:eastAsia="方正小标宋_GBK"/>
          <w:b/>
          <w:color w:val="000000"/>
          <w:spacing w:val="16"/>
          <w:sz w:val="40"/>
          <w:szCs w:val="40"/>
        </w:rPr>
        <w:t>广州市家具买卖合同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4914900</wp:posOffset>
                </wp:positionH>
                <wp:positionV relativeFrom="paragraph">
                  <wp:posOffset>-198120</wp:posOffset>
                </wp:positionV>
                <wp:extent cx="1257300" cy="1981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仿宋_GB2312" w:hAnsi="仿宋_GB2312" w:eastAsia="仿宋_GB2312" w:cs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eastAsia="仿宋_GB2312" w:cs="Calisto MT;Segoe Print" w:ascii="仿宋_GB2312" w:hAnsi="仿宋_GB2312"/>
                                <w:b/>
                                <w:bCs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sto MT;Segoe Print" w:hAnsi="Calisto MT;Segoe Print" w:eastAsia="宋体" w:cs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eastAsia="宋体" w:cs="Calisto MT;Segoe Print" w:ascii="Calisto MT;Segoe Print" w:hAnsi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pt;height:15.6pt;mso-wrap-distance-left:9.05pt;mso-wrap-distance-right:9.05pt;mso-wrap-distance-top:0pt;mso-wrap-distance-bottom:0pt;margin-top:-15.6pt;mso-position-vertical-relative:text;margin-left:387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rFonts w:ascii="仿宋_GB2312" w:hAnsi="仿宋_GB2312" w:eastAsia="仿宋_GB2312" w:cs="Calisto MT;Segoe Print"/>
                          <w:b/>
                          <w:bCs/>
                          <w:color w:val="000000"/>
                          <w:sz w:val="21"/>
                        </w:rPr>
                      </w:pPr>
                      <w:r>
                        <w:rPr>
                          <w:rFonts w:eastAsia="仿宋_GB2312" w:cs="Calisto MT;Segoe Print" w:ascii="仿宋_GB2312" w:hAnsi="仿宋_GB2312"/>
                          <w:b/>
                          <w:bCs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sto MT;Segoe Print" w:hAnsi="Calisto MT;Segoe Print" w:eastAsia="宋体" w:cs="Calisto MT;Segoe Print"/>
                          <w:b/>
                          <w:bCs/>
                          <w:color w:val="000000"/>
                          <w:sz w:val="21"/>
                        </w:rPr>
                      </w:pPr>
                      <w:r>
                        <w:rPr>
                          <w:rFonts w:eastAsia="宋体" w:cs="Calisto MT;Segoe Print" w:ascii="Calisto MT;Segoe Print" w:hAnsi="Calisto MT;Segoe Print"/>
                          <w:b/>
                          <w:bCs/>
                          <w:color w:val="000000"/>
                          <w:sz w:val="21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700"/>
        <w:ind w:hanging="0" w:end="0"/>
        <w:rPr>
          <w:rFonts w:ascii="仿宋_GB2312" w:hAnsi="仿宋_GB2312" w:eastAsia="仿宋_GB2312" w:cs="华文中宋"/>
          <w:bCs/>
          <w:color w:val="000000"/>
          <w:szCs w:val="21"/>
          <w:lang w:val="zh-CN" w:eastAsia="zh-CN"/>
        </w:rPr>
      </w:pPr>
      <w:r>
        <w:rPr>
          <w:rFonts w:eastAsia="仿宋_GB2312" w:cs="华文中宋" w:ascii="仿宋_GB2312" w:hAnsi="仿宋_GB2312"/>
          <w:bCs/>
          <w:color w:val="000000"/>
          <w:szCs w:val="21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4668520</wp:posOffset>
                </wp:positionH>
                <wp:positionV relativeFrom="paragraph">
                  <wp:posOffset>331470</wp:posOffset>
                </wp:positionV>
                <wp:extent cx="1743075" cy="9975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26.1pt;mso-position-vertical-relative:text;margin-left:3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33" w:end="0"/>
        <w:textAlignment w:val="auto"/>
        <w:rPr>
          <w:rFonts w:ascii="宋体" w:hAnsi="宋体" w:eastAsia="宋体" w:cs="宋体"/>
          <w:bCs/>
          <w:color w:val="000000"/>
          <w:sz w:val="22"/>
          <w:szCs w:val="22"/>
          <w:u w:val="single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{买方</w:t>
      </w:r>
      <w:r>
        <w:rPr>
          <w:rFonts w:ascii="宋体" w:hAnsi="宋体" w:cs="宋体" w:eastAsia="宋体"/>
          <w:bCs/>
          <w:color w:val="000000"/>
          <w:sz w:val="22"/>
          <w:szCs w:val="22"/>
          <w:u w:val="single"/>
        </w:rPr>
        <w:t>}：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33" w:end="0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{卖方</w:t>
      </w:r>
      <w:r>
        <w:rPr>
          <w:rFonts w:ascii="宋体" w:hAnsi="宋体" w:cs="宋体" w:eastAsia="宋体"/>
          <w:bCs/>
          <w:color w:val="000000"/>
          <w:sz w:val="22"/>
          <w:szCs w:val="22"/>
          <w:u w:val="single"/>
        </w:rPr>
        <w:t>}：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46"/>
        <w:ind w:hanging="0" w:end="0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第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一条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家具基本情况</w:t>
      </w:r>
    </w:p>
    <w:tbl>
      <w:tblPr>
        <w:tblW w:w="10260" w:type="dxa"/>
        <w:jc w:val="center"/>
        <w:tblInd w:w="0" w:type="dxa"/>
        <w:tblLayout w:type="fixed"/>
        <w:tblCellMar>
          <w:top w:w="0" w:type="dxa"/>
          <w:start w:w="6" w:type="dxa"/>
          <w:bottom w:w="0" w:type="dxa"/>
          <w:end w:w="6" w:type="dxa"/>
        </w:tblCellMar>
      </w:tblPr>
      <w:tblGrid>
        <w:gridCol w:w="1385"/>
        <w:gridCol w:w="810"/>
        <w:gridCol w:w="950"/>
        <w:gridCol w:w="1492"/>
        <w:gridCol w:w="1080"/>
        <w:gridCol w:w="1080"/>
        <w:gridCol w:w="900"/>
        <w:gridCol w:w="540"/>
        <w:gridCol w:w="540"/>
        <w:gridCol w:w="900"/>
        <w:gridCol w:w="579"/>
        <w:gridCol w:w="4"/>
      </w:tblGrid>
      <w:tr>
        <w:trPr>
          <w:trHeight w:val="397" w:hRule="atLeast"/>
        </w:trPr>
        <w:tc>
          <w:tcPr>
            <w:tcW w:w="1385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家具名称</w:t>
            </w:r>
          </w:p>
        </w:tc>
        <w:tc>
          <w:tcPr>
            <w:tcW w:w="81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商标</w:t>
            </w:r>
          </w:p>
        </w:tc>
        <w:tc>
          <w:tcPr>
            <w:tcW w:w="95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产地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</w:p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生产厂家</w:t>
            </w:r>
          </w:p>
        </w:tc>
        <w:tc>
          <w:tcPr>
            <w:tcW w:w="1492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主材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面料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辅材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五金</w:t>
            </w:r>
          </w:p>
        </w:tc>
        <w:tc>
          <w:tcPr>
            <w:tcW w:w="900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边材状况</w:t>
            </w:r>
          </w:p>
        </w:tc>
        <w:tc>
          <w:tcPr>
            <w:tcW w:w="540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54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90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58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总价</w:t>
            </w:r>
          </w:p>
        </w:tc>
      </w:tr>
      <w:tr>
        <w:trPr>
          <w:trHeight w:val="434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  <w:lang w:val="zh-CN" w:eastAsia="zh-CN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702310</wp:posOffset>
                      </wp:positionH>
                      <wp:positionV relativeFrom="margin">
                        <wp:posOffset>68580</wp:posOffset>
                      </wp:positionV>
                      <wp:extent cx="175895" cy="1363980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895" cy="136398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</w:txbxContent>
                            </wps:txbx>
                            <wps:bodyPr anchor="t" lIns="635" tIns="635" rIns="635" bIns="635"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3.85pt;height:107.4pt;mso-wrap-distance-left:9.05pt;mso-wrap-distance-right:9.05pt;mso-wrap-distance-top:0pt;mso-wrap-distance-bottom:0pt;margin-top:5.4pt;mso-position-vertical-relative:margin;margin-left:55.3pt;mso-position-horizontal-relative:text">
                      <v:fill opacity="0f"/>
                      <v:textbox inset="0.000694444444444445in,0.000694444444444445in,0.000694444444444445in,0.000694444444444445in">
                        <w:txbxContent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454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60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43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56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369" w:hRule="atLeast"/>
        </w:trPr>
        <w:tc>
          <w:tcPr>
            <w:tcW w:w="10256" w:type="dxa"/>
            <w:gridSpan w:val="11"/>
            <w:tcBorders>
              <w:top w:val="single" w:sz="6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送货费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 xml:space="preserve">:   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元，合计（大写）：    拾     万     仟     佰     拾     元  ￥：              元</w:t>
            </w:r>
          </w:p>
        </w:tc>
      </w:tr>
    </w:tbl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 xml:space="preserve">第二条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质量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标准：每件家具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应达到《家具使用说明书》中明示的执行标准，且不低于样品同等质量。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 w:eastAsia="宋体"/>
          <w:color w:val="000000"/>
          <w:sz w:val="22"/>
          <w:szCs w:val="22"/>
        </w:rPr>
        <w:t>第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三条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付款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方式：{付款方式}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bookmarkStart w:id="0" w:name="OLE_LINK1"/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bookmarkEnd w:id="0"/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买方应在签约时一次性支付全部价款。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84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买方应在签约时支付全部价款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{定金比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例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}%的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定金{定金金额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}元，余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款{尾款金额}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元应在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{付款时间}时付清。买方违约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退货的，无权要求返还定金；卖方违约不能交货的，应双倍返还定金。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买方应在签约时支付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{预付款金额}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元的预付款，余款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{尾款金额} 元应在 {付款时间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} 时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付清。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交货及验收：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2"/>
        </w:numPr>
        <w:tabs>
          <w:tab w:val="clear" w:pos="420"/>
          <w:tab w:val="left" w:pos="874" w:leader="none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360" w:start="874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买方自提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536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卖方送货；交货时间：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{交货时间}；交货地点：{交货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地点}。卖方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>应在交货时督促买方对家具的商标、数量及款式、结构、颜色等外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观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特征及有无《家具使用说明书》进行验收，买方发现问题应当场提出，并由双方协商达成解决方案。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 xml:space="preserve">    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第五条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违约责任：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卖方迟延交货的，应每日向买方支付迟延交货部分家具价款万分之五的违约金，但因{原因}导致的迟延除外；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迟延超过</w:t>
      </w:r>
      <w:r>
        <w:rPr>
          <w:rFonts w:ascii="宋体" w:hAnsi="宋体" w:cs="宋体" w:eastAsia="宋体"/>
          <w:b w:val="false"/>
          <w:color w:val="000000"/>
          <w:sz w:val="22"/>
          <w:szCs w:val="22"/>
          <w:u w:val="single"/>
        </w:rPr>
        <w:t>{天数}日的，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视为不能履行合同，买方有权解除合同。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买方延迟付款的，应每日向卖方支付延迟付款金额万分之五的违约金。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color w:val="000000"/>
          <w:sz w:val="22"/>
          <w:szCs w:val="22"/>
        </w:rPr>
        <w:t>买方违约退货或卖方违约不能交货的，应向对方支付家具价款总值</w:t>
      </w:r>
      <w:r>
        <w:rPr>
          <w:rFonts w:ascii="宋体" w:hAnsi="宋体" w:cs="宋体" w:eastAsia="宋体"/>
          <w:b w:val="false"/>
          <w:color w:val="000000"/>
          <w:sz w:val="22"/>
          <w:szCs w:val="22"/>
          <w:u w:val="single"/>
        </w:rPr>
        <w:t>{违约金比例}%的违</w:t>
      </w:r>
      <w:r>
        <w:rPr>
          <w:rFonts w:eastAsia="宋体" w:cs="宋体" w:ascii="宋体" w:hAnsi="宋体"/>
          <w:b w:val="false"/>
          <w:color w:val="000000"/>
          <w:sz w:val="22"/>
          <w:szCs w:val="22"/>
        </w:rPr>
        <w:t>约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金。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  <w:u w:val="single"/>
        </w:rPr>
      </w:pPr>
      <w:r>
        <w:rPr>
          <w:rFonts w:ascii="宋体" w:hAnsi="宋体" w:cs="宋体" w:eastAsia="宋体"/>
          <w:b w:val="false"/>
          <w:color w:val="000000"/>
          <w:sz w:val="22"/>
          <w:szCs w:val="22"/>
        </w:rPr>
        <w:t>经国家认可的家具检测机构检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测，家具的有害物质限量不符合国家或广州市有关标准的强制性要求的，买方有权无条件退货，并要求卖方赔偿相应的检测费、交通费、误工费等损失。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536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</w:rPr>
        <w:t>第六条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  争议解决方式：本合同项下发生的争议，由双方协商解决，也可向消费者委员会或工商行政管理部门申请调解；协商或调解不成的，按下列第 {争议解决方式} 种方式解决：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1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、提交广州仲裁委员会仲裁。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2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、向人民法院起诉。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第七条  本合同一式二份，甲乙双方各执一份，自双方{签字盖章}后起生效。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{买方（盖章）}                                                     {卖方（盖章）}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5910" w:leader="none"/>
          <w:tab w:val="left" w:pos="7035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住所：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{住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所}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6405" w:leader="none"/>
          <w:tab w:val="left" w:pos="6435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委托代理人：{委托代理人1}  </w:t>
        <w:br/>
        <w:t>委托代理人：{委托代理人2}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5910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联系电话：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lang w:val="en-US" w:eastAsia="zh-CN"/>
        </w:rPr>
        <w:t>{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联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系电话}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3290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55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售后服务电话：{联系电话}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</w:r>
    </w:p>
    <w:sectPr>
      <w:footerReference w:type="default" r:id="rId2"/>
      <w:type w:val="nextPage"/>
      <w:pgSz w:w="11906" w:h="16838"/>
      <w:pgMar w:left="964" w:right="1020" w:gutter="0" w:header="0" w:top="1402" w:footer="992" w:bottom="1402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仿宋_GB2312">
    <w:charset w:val="86"/>
    <w:family w:val="modern"/>
    <w:pitch w:val="default"/>
  </w:font>
  <w:font w:name="Wingdings"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宋三简体">
    <w:altName w:val="宋体"/>
    <w:charset w:val="86"/>
    <w:family w:val="auto"/>
    <w:pitch w:val="default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  <w:font w:name="Calisto MT">
    <w:altName w:val="Segoe Print"/>
    <w:charset w:val="00" w:characterSet="windows-1252"/>
    <w:family w:val="roman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45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9"/>
      <w:numFmt w:val="bullet"/>
      <w:lvlText w:val="□"/>
      <w:lvlJc w:val="start"/>
      <w:pPr>
        <w:tabs>
          <w:tab w:val="num" w:pos="0"/>
        </w:tabs>
        <w:ind w:start="874" w:hanging="360"/>
      </w:pPr>
      <w:rPr>
        <w:rFonts w:ascii="仿宋_GB2312" w:hAnsi="仿宋_GB2312" w:cs="仿宋_GB2312" w:hint="default"/>
      </w:rPr>
    </w:lvl>
    <w:lvl w:ilvl="1">
      <w:start w:val="1"/>
      <w:numFmt w:val="bullet"/>
      <w:lvlText w:val=""/>
      <w:lvlJc w:val="start"/>
      <w:pPr>
        <w:tabs>
          <w:tab w:val="num" w:pos="0"/>
        </w:tabs>
        <w:ind w:start="1354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0"/>
        </w:tabs>
        <w:ind w:start="1774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194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0"/>
        </w:tabs>
        <w:ind w:start="2614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0"/>
        </w:tabs>
        <w:ind w:start="3034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3454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0"/>
        </w:tabs>
        <w:ind w:start="3874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0"/>
        </w:tabs>
        <w:ind w:start="4294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方正粗圆简体;宋体" w:cs="Times New Roman"/>
      <w:color w:val="FFFFFF"/>
      <w:kern w:val="2"/>
      <w:sz w:val="36"/>
      <w:szCs w:val="24"/>
      <w:lang w:val="en-US" w:eastAsia="zh-CN" w:bidi="ar-SA"/>
    </w:rPr>
  </w:style>
  <w:style w:type="character" w:styleId="WW8Num2z0">
    <w:name w:val="WW8Num2z0"/>
    <w:qFormat/>
    <w:rPr>
      <w:rFonts w:ascii="仿宋_GB2312" w:hAnsi="仿宋_GB2312" w:eastAsia="仿宋_GB2312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宋体" w:hAnsi="方正宋三简体;宋体" w:eastAsia="方正宋三简体;宋体"/>
      <w:b/>
      <w:color w:val="000000"/>
      <w:sz w:val="21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2012-08-07T14:17:00Z</dcterms:created>
  <dc:creator>李建敏</dc:creator>
  <dc:description/>
  <dc:language>zh-CN</dc:language>
  <cp:lastModifiedBy>☁️</cp:lastModifiedBy>
  <cp:lastPrinted>2013-09-04T09:12:00Z</cp:lastPrinted>
  <dcterms:modified xsi:type="dcterms:W3CDTF">2022-01-27T15:28:46Z</dcterms:modified>
  <cp:revision>11</cp:revision>
  <dc:subject/>
  <dc:title>家具买卖合同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