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_GB2312" w:hAnsi="宋体" w:eastAsia="仿宋_GB2312"/>
          <w:b/>
          <w:sz w:val="24"/>
        </w:rPr>
      </w:pPr>
      <w:bookmarkStart w:id="0" w:name="_GoBack"/>
      <w:bookmarkEnd w:id="0"/>
      <w:r>
        <w:rPr>
          <w:rFonts w:hint="default" w:ascii="Times New Roman" w:hAnsi="Times New Roman" w:eastAsia="仿宋_GB2312" w:cs="Times New Roman"/>
          <w:sz w:val="28"/>
          <w:szCs w:val="28"/>
        </w:rPr>
        <w:t>JF-2013-063</w:t>
      </w:r>
      <w:r>
        <w:rPr>
          <w:rFonts w:hint="eastAsia" w:ascii="仿宋_GB2312" w:hAnsi="宋体" w:eastAsia="仿宋_GB2312"/>
          <w:sz w:val="24"/>
        </w:rPr>
        <w:t xml:space="preserve">                                     合同编号：{合同编号}</w:t>
      </w:r>
    </w:p>
    <w:p>
      <w:pPr>
        <w:jc w:val="center"/>
        <w:rPr>
          <w:rFonts w:hint="eastAsia" w:ascii="方正小标宋_GBK" w:hAnsi="方正小标宋_GBK" w:eastAsia="方正小标宋_GBK" w:cs="方正小标宋_GBK"/>
          <w:b/>
          <w:sz w:val="40"/>
          <w:szCs w:val="40"/>
        </w:rPr>
      </w:pPr>
      <w:r>
        <w:rPr>
          <w:rFonts w:hint="eastAsia" w:ascii="方正小标宋_GBK" w:hAnsi="方正小标宋_GBK" w:eastAsia="方正小标宋_GBK" w:cs="方正小标宋_GBK"/>
          <w:b/>
          <w:sz w:val="40"/>
          <w:szCs w:val="40"/>
        </w:rPr>
        <w:t>天津市电子产品买卖合同</w:t>
      </w:r>
    </w:p>
    <w:p>
      <w:pPr>
        <w:spacing w:line="240" w:lineRule="exact"/>
        <w:jc w:val="center"/>
        <w:rPr>
          <w:rFonts w:hint="eastAsia" w:ascii="宋体"/>
          <w:sz w:val="24"/>
        </w:rPr>
      </w:pPr>
      <w:r>
        <w:rPr>
          <w:rFonts w:hint="eastAsia" w:ascii="宋体"/>
          <w:sz w:val="24"/>
        </w:rPr>
        <w:t xml:space="preserve">                                 </w:t>
      </w:r>
    </w:p>
    <w:p>
      <w:pPr>
        <w:keepNext w:val="0"/>
        <w:keepLines w:val="0"/>
        <w:pageBreakBefore w:val="0"/>
        <w:kinsoku/>
        <w:wordWrap/>
        <w:overflowPunct/>
        <w:topLinePunct w:val="0"/>
        <w:autoSpaceDE/>
        <w:autoSpaceDN/>
        <w:bidi w:val="0"/>
        <w:adjustRightInd/>
        <w:snapToGrid/>
        <w:spacing w:line="420" w:lineRule="exact"/>
        <w:ind w:firstLine="48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双方依据《中华人民共和国合同法》、《中华人民共和国消费者权益保护法》和《天津市消费者权益保护条例》及其他有关法律、法规的规定，在平等、自愿、协商一致的基础上，就电子产品买卖事宜，订立本合同。</w:t>
      </w:r>
    </w:p>
    <w:p>
      <w:pPr>
        <w:keepNext w:val="0"/>
        <w:keepLines w:val="0"/>
        <w:pageBreakBefore w:val="0"/>
        <w:numPr>
          <w:ilvl w:val="0"/>
          <w:numId w:val="0"/>
        </w:numPr>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lang w:eastAsia="zh-CN"/>
        </w:rPr>
        <w:t>一、</w:t>
      </w:r>
      <w:r>
        <w:rPr>
          <w:rFonts w:hint="eastAsia" w:ascii="方正书宋_GBK" w:hAnsi="方正书宋_GBK" w:eastAsia="方正书宋_GBK" w:cs="方正书宋_GBK"/>
          <w:b/>
          <w:sz w:val="22"/>
          <w:szCs w:val="22"/>
        </w:rPr>
        <w:t>基本信息：</w:t>
      </w:r>
    </w:p>
    <w:tbl>
      <w:tblPr>
        <w:tblStyle w:val="4"/>
        <w:tblpPr w:leftFromText="180" w:rightFromText="180" w:vertAnchor="text" w:horzAnchor="margin" w:tblpXSpec="center" w:tblpY="366"/>
        <w:tblW w:w="8682" w:type="dxa"/>
        <w:tblInd w:w="-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8"/>
        <w:gridCol w:w="1747"/>
        <w:gridCol w:w="1313"/>
        <w:gridCol w:w="1728"/>
        <w:gridCol w:w="1332"/>
        <w:gridCol w:w="1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exact"/>
        </w:trPr>
        <w:tc>
          <w:tcPr>
            <w:tcW w:w="1168"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出卖人</w:t>
            </w:r>
          </w:p>
        </w:tc>
        <w:tc>
          <w:tcPr>
            <w:tcW w:w="1747"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c>
          <w:tcPr>
            <w:tcW w:w="1313"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地址</w:t>
            </w:r>
          </w:p>
        </w:tc>
        <w:tc>
          <w:tcPr>
            <w:tcW w:w="1728"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c>
          <w:tcPr>
            <w:tcW w:w="133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电话</w:t>
            </w:r>
          </w:p>
        </w:tc>
        <w:tc>
          <w:tcPr>
            <w:tcW w:w="139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7" w:hRule="exact"/>
        </w:trPr>
        <w:tc>
          <w:tcPr>
            <w:tcW w:w="1168"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c>
          <w:tcPr>
            <w:tcW w:w="1747"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c>
          <w:tcPr>
            <w:tcW w:w="1313"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c>
          <w:tcPr>
            <w:tcW w:w="1728"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c>
          <w:tcPr>
            <w:tcW w:w="133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邮箱</w:t>
            </w:r>
          </w:p>
        </w:tc>
        <w:tc>
          <w:tcPr>
            <w:tcW w:w="139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0" w:hRule="atLeast"/>
        </w:trPr>
        <w:tc>
          <w:tcPr>
            <w:tcW w:w="1168"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c>
          <w:tcPr>
            <w:tcW w:w="1747"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c>
          <w:tcPr>
            <w:tcW w:w="1313"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营业执照号</w:t>
            </w:r>
          </w:p>
        </w:tc>
        <w:tc>
          <w:tcPr>
            <w:tcW w:w="172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c>
          <w:tcPr>
            <w:tcW w:w="133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法定代表人</w:t>
            </w:r>
          </w:p>
        </w:tc>
        <w:tc>
          <w:tcPr>
            <w:tcW w:w="139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7" w:hRule="exact"/>
        </w:trPr>
        <w:tc>
          <w:tcPr>
            <w:tcW w:w="1168"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c>
          <w:tcPr>
            <w:tcW w:w="1747"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c>
          <w:tcPr>
            <w:tcW w:w="1313"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地址</w:t>
            </w:r>
          </w:p>
        </w:tc>
        <w:tc>
          <w:tcPr>
            <w:tcW w:w="1728"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c>
          <w:tcPr>
            <w:tcW w:w="133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电话</w:t>
            </w:r>
          </w:p>
        </w:tc>
        <w:tc>
          <w:tcPr>
            <w:tcW w:w="139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0" w:hRule="atLeast"/>
        </w:trPr>
        <w:tc>
          <w:tcPr>
            <w:tcW w:w="1168"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c>
          <w:tcPr>
            <w:tcW w:w="1747"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c>
          <w:tcPr>
            <w:tcW w:w="1313"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c>
          <w:tcPr>
            <w:tcW w:w="1728"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c>
          <w:tcPr>
            <w:tcW w:w="133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邮箱</w:t>
            </w:r>
          </w:p>
        </w:tc>
        <w:tc>
          <w:tcPr>
            <w:tcW w:w="139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5" w:hRule="atLeast"/>
        </w:trPr>
        <w:tc>
          <w:tcPr>
            <w:tcW w:w="1168"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c>
          <w:tcPr>
            <w:tcW w:w="1747"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c>
          <w:tcPr>
            <w:tcW w:w="1313"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营业执照号</w:t>
            </w:r>
          </w:p>
        </w:tc>
        <w:tc>
          <w:tcPr>
            <w:tcW w:w="172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c>
          <w:tcPr>
            <w:tcW w:w="133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法定代表人</w:t>
            </w:r>
          </w:p>
        </w:tc>
        <w:tc>
          <w:tcPr>
            <w:tcW w:w="139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r>
    </w:tbl>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rPr>
        <w:t>二、</w:t>
      </w:r>
      <w:r>
        <w:rPr>
          <w:rFonts w:hint="eastAsia" w:ascii="方正书宋_GBK" w:hAnsi="方正书宋_GBK" w:eastAsia="方正书宋_GBK" w:cs="方正书宋_GBK"/>
          <w:b/>
          <w:bCs/>
          <w:sz w:val="22"/>
          <w:szCs w:val="22"/>
        </w:rPr>
        <w:t>标的 {标的描述}</w:t>
      </w:r>
    </w:p>
    <w:tbl>
      <w:tblPr>
        <w:tblStyle w:val="4"/>
        <w:tblW w:w="87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9"/>
        <w:gridCol w:w="1138"/>
        <w:gridCol w:w="851"/>
        <w:gridCol w:w="1260"/>
        <w:gridCol w:w="796"/>
        <w:gridCol w:w="1004"/>
        <w:gridCol w:w="720"/>
        <w:gridCol w:w="900"/>
        <w:gridCol w:w="72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9"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主</w:t>
            </w:r>
          </w:p>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sz w:val="18"/>
                <w:szCs w:val="18"/>
              </w:rPr>
              <w:t>项</w:t>
            </w:r>
          </w:p>
          <w:p>
            <w:pPr>
              <w:keepNext w:val="0"/>
              <w:keepLines w:val="0"/>
              <w:pageBreakBefore w:val="0"/>
              <w:kinsoku/>
              <w:wordWrap/>
              <w:overflowPunct/>
              <w:topLinePunct w:val="0"/>
              <w:autoSpaceDE/>
              <w:autoSpaceDN/>
              <w:bidi w:val="0"/>
              <w:adjustRightInd/>
              <w:snapToGrid/>
              <w:spacing w:line="420" w:lineRule="exact"/>
              <w:ind w:right="105"/>
              <w:jc w:val="center"/>
              <w:textAlignment w:val="auto"/>
              <w:rPr>
                <w:rFonts w:hint="eastAsia" w:ascii="方正书宋_GBK" w:hAnsi="方正书宋_GBK" w:eastAsia="方正书宋_GBK" w:cs="方正书宋_GBK"/>
                <w:b/>
                <w:sz w:val="18"/>
                <w:szCs w:val="18"/>
              </w:rPr>
            </w:pPr>
          </w:p>
        </w:tc>
        <w:tc>
          <w:tcPr>
            <w:tcW w:w="1138"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产品名称</w:t>
            </w:r>
          </w:p>
        </w:tc>
        <w:tc>
          <w:tcPr>
            <w:tcW w:w="851"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品牌</w:t>
            </w:r>
          </w:p>
        </w:tc>
        <w:tc>
          <w:tcPr>
            <w:tcW w:w="1260"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规格型号</w:t>
            </w:r>
          </w:p>
        </w:tc>
        <w:tc>
          <w:tcPr>
            <w:tcW w:w="2520" w:type="dxa"/>
            <w:gridSpan w:val="3"/>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配置</w:t>
            </w:r>
          </w:p>
        </w:tc>
        <w:tc>
          <w:tcPr>
            <w:tcW w:w="900"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数量</w:t>
            </w:r>
          </w:p>
        </w:tc>
        <w:tc>
          <w:tcPr>
            <w:tcW w:w="720"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单位</w:t>
            </w:r>
          </w:p>
        </w:tc>
        <w:tc>
          <w:tcPr>
            <w:tcW w:w="900"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b/>
                <w:kern w:val="0"/>
                <w:sz w:val="18"/>
                <w:szCs w:val="18"/>
              </w:rPr>
            </w:pPr>
            <w:r>
              <w:rPr>
                <w:rFonts w:hint="eastAsia" w:ascii="方正书宋_GBK" w:hAnsi="方正书宋_GBK" w:eastAsia="方正书宋_GBK" w:cs="方正书宋_GBK"/>
                <w:sz w:val="18"/>
                <w:szCs w:val="18"/>
              </w:rPr>
              <w:t>单价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9"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widowControl/>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sz w:val="18"/>
                <w:szCs w:val="18"/>
              </w:rPr>
            </w:pPr>
          </w:p>
        </w:tc>
        <w:tc>
          <w:tcPr>
            <w:tcW w:w="1138"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851"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126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2520" w:type="dxa"/>
            <w:gridSpan w:val="3"/>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9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72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9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9"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widowControl/>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sz w:val="18"/>
                <w:szCs w:val="18"/>
              </w:rPr>
            </w:pPr>
          </w:p>
        </w:tc>
        <w:tc>
          <w:tcPr>
            <w:tcW w:w="1138"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851"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126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2520" w:type="dxa"/>
            <w:gridSpan w:val="3"/>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9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72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9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9"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widowControl/>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sz w:val="18"/>
                <w:szCs w:val="18"/>
              </w:rPr>
            </w:pPr>
          </w:p>
        </w:tc>
        <w:tc>
          <w:tcPr>
            <w:tcW w:w="1138"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851"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126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2520" w:type="dxa"/>
            <w:gridSpan w:val="3"/>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9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72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9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9"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widowControl/>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sz w:val="18"/>
                <w:szCs w:val="18"/>
              </w:rPr>
            </w:pPr>
          </w:p>
        </w:tc>
        <w:tc>
          <w:tcPr>
            <w:tcW w:w="1138"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851"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126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2520" w:type="dxa"/>
            <w:gridSpan w:val="3"/>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9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72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9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9"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kern w:val="0"/>
                <w:sz w:val="18"/>
                <w:szCs w:val="18"/>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附</w:t>
            </w: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kern w:val="0"/>
                <w:sz w:val="18"/>
                <w:szCs w:val="18"/>
              </w:rPr>
            </w:pPr>
          </w:p>
          <w:p>
            <w:pPr>
              <w:keepNext w:val="0"/>
              <w:keepLines w:val="0"/>
              <w:pageBreakBefore w:val="0"/>
              <w:kinsoku/>
              <w:wordWrap/>
              <w:overflowPunct/>
              <w:topLinePunct w:val="0"/>
              <w:autoSpaceDE/>
              <w:autoSpaceDN/>
              <w:bidi w:val="0"/>
              <w:adjustRightInd/>
              <w:snapToGrid/>
              <w:spacing w:line="420" w:lineRule="exact"/>
              <w:ind w:right="105"/>
              <w:jc w:val="center"/>
              <w:textAlignment w:val="auto"/>
              <w:rPr>
                <w:rFonts w:hint="eastAsia" w:ascii="方正书宋_GBK" w:hAnsi="方正书宋_GBK" w:eastAsia="方正书宋_GBK" w:cs="方正书宋_GBK"/>
                <w:b/>
                <w:sz w:val="18"/>
                <w:szCs w:val="18"/>
              </w:rPr>
            </w:pPr>
            <w:r>
              <w:rPr>
                <w:rFonts w:hint="eastAsia" w:ascii="方正书宋_GBK" w:hAnsi="方正书宋_GBK" w:eastAsia="方正书宋_GBK" w:cs="方正书宋_GBK"/>
                <w:kern w:val="0"/>
                <w:sz w:val="18"/>
                <w:szCs w:val="18"/>
              </w:rPr>
              <w:t>件</w:t>
            </w:r>
          </w:p>
        </w:tc>
        <w:tc>
          <w:tcPr>
            <w:tcW w:w="3249" w:type="dxa"/>
            <w:gridSpan w:val="3"/>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kinsoku/>
              <w:wordWrap/>
              <w:overflowPunct/>
              <w:topLinePunct w:val="0"/>
              <w:autoSpaceDE/>
              <w:autoSpaceDN/>
              <w:bidi w:val="0"/>
              <w:adjustRightInd/>
              <w:snapToGrid/>
              <w:spacing w:line="420" w:lineRule="exact"/>
              <w:ind w:right="105"/>
              <w:jc w:val="center"/>
              <w:textAlignment w:val="auto"/>
              <w:rPr>
                <w:rFonts w:hint="eastAsia" w:ascii="方正书宋_GBK" w:hAnsi="方正书宋_GBK" w:eastAsia="方正书宋_GBK" w:cs="方正书宋_GBK"/>
                <w:b/>
                <w:sz w:val="18"/>
                <w:szCs w:val="18"/>
              </w:rPr>
            </w:pPr>
            <w:r>
              <w:rPr>
                <w:rFonts w:hint="eastAsia" w:ascii="方正书宋_GBK" w:hAnsi="方正书宋_GBK" w:eastAsia="方正书宋_GBK" w:cs="方正书宋_GBK"/>
                <w:b/>
                <w:sz w:val="18"/>
                <w:szCs w:val="18"/>
              </w:rPr>
              <w:t>附件名称</w:t>
            </w:r>
          </w:p>
        </w:tc>
        <w:tc>
          <w:tcPr>
            <w:tcW w:w="79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kinsoku/>
              <w:wordWrap/>
              <w:overflowPunct/>
              <w:topLinePunct w:val="0"/>
              <w:autoSpaceDE/>
              <w:autoSpaceDN/>
              <w:bidi w:val="0"/>
              <w:adjustRightInd/>
              <w:snapToGrid/>
              <w:spacing w:line="420" w:lineRule="exact"/>
              <w:ind w:right="105"/>
              <w:jc w:val="center"/>
              <w:textAlignment w:val="auto"/>
              <w:rPr>
                <w:rFonts w:hint="eastAsia" w:ascii="方正书宋_GBK" w:hAnsi="方正书宋_GBK" w:eastAsia="方正书宋_GBK" w:cs="方正书宋_GBK"/>
                <w:b/>
                <w:sz w:val="18"/>
                <w:szCs w:val="18"/>
              </w:rPr>
            </w:pPr>
            <w:r>
              <w:rPr>
                <w:rFonts w:hint="eastAsia" w:ascii="方正书宋_GBK" w:hAnsi="方正书宋_GBK" w:eastAsia="方正书宋_GBK" w:cs="方正书宋_GBK"/>
                <w:b/>
                <w:sz w:val="18"/>
                <w:szCs w:val="18"/>
              </w:rPr>
              <w:t>数量</w:t>
            </w:r>
          </w:p>
        </w:tc>
        <w:tc>
          <w:tcPr>
            <w:tcW w:w="3344" w:type="dxa"/>
            <w:gridSpan w:val="4"/>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kinsoku/>
              <w:wordWrap/>
              <w:overflowPunct/>
              <w:topLinePunct w:val="0"/>
              <w:autoSpaceDE/>
              <w:autoSpaceDN/>
              <w:bidi w:val="0"/>
              <w:adjustRightInd/>
              <w:snapToGrid/>
              <w:spacing w:line="420" w:lineRule="exact"/>
              <w:ind w:right="105"/>
              <w:jc w:val="center"/>
              <w:textAlignment w:val="auto"/>
              <w:rPr>
                <w:rFonts w:hint="eastAsia" w:ascii="方正书宋_GBK" w:hAnsi="方正书宋_GBK" w:eastAsia="方正书宋_GBK" w:cs="方正书宋_GBK"/>
                <w:b/>
                <w:sz w:val="18"/>
                <w:szCs w:val="18"/>
              </w:rPr>
            </w:pPr>
            <w:r>
              <w:rPr>
                <w:rFonts w:hint="eastAsia" w:ascii="方正书宋_GBK" w:hAnsi="方正书宋_GBK" w:eastAsia="方正书宋_GBK" w:cs="方正书宋_GBK"/>
                <w:b/>
                <w:sz w:val="18"/>
                <w:szCs w:val="18"/>
              </w:rPr>
              <w:t>附件名称</w:t>
            </w:r>
          </w:p>
        </w:tc>
        <w:tc>
          <w:tcPr>
            <w:tcW w:w="900"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kinsoku/>
              <w:wordWrap/>
              <w:overflowPunct/>
              <w:topLinePunct w:val="0"/>
              <w:autoSpaceDE/>
              <w:autoSpaceDN/>
              <w:bidi w:val="0"/>
              <w:adjustRightInd/>
              <w:snapToGrid/>
              <w:spacing w:line="420" w:lineRule="exact"/>
              <w:ind w:right="105"/>
              <w:jc w:val="center"/>
              <w:textAlignment w:val="auto"/>
              <w:rPr>
                <w:rFonts w:hint="eastAsia" w:ascii="方正书宋_GBK" w:hAnsi="方正书宋_GBK" w:eastAsia="方正书宋_GBK" w:cs="方正书宋_GBK"/>
                <w:b/>
                <w:sz w:val="18"/>
                <w:szCs w:val="18"/>
              </w:rPr>
            </w:pPr>
            <w:r>
              <w:rPr>
                <w:rFonts w:hint="eastAsia" w:ascii="方正书宋_GBK" w:hAnsi="方正书宋_GBK" w:eastAsia="方正书宋_GBK" w:cs="方正书宋_GBK"/>
                <w:b/>
                <w:sz w:val="18"/>
                <w:szCs w:val="18"/>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9"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widowControl/>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sz w:val="18"/>
                <w:szCs w:val="18"/>
              </w:rPr>
            </w:pPr>
          </w:p>
        </w:tc>
        <w:tc>
          <w:tcPr>
            <w:tcW w:w="3249" w:type="dxa"/>
            <w:gridSpan w:val="3"/>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796"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3344" w:type="dxa"/>
            <w:gridSpan w:val="4"/>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9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9"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widowControl/>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sz w:val="18"/>
                <w:szCs w:val="18"/>
              </w:rPr>
            </w:pPr>
          </w:p>
        </w:tc>
        <w:tc>
          <w:tcPr>
            <w:tcW w:w="3249" w:type="dxa"/>
            <w:gridSpan w:val="3"/>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796"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3344" w:type="dxa"/>
            <w:gridSpan w:val="4"/>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9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9"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widowControl/>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sz w:val="18"/>
                <w:szCs w:val="18"/>
              </w:rPr>
            </w:pPr>
          </w:p>
        </w:tc>
        <w:tc>
          <w:tcPr>
            <w:tcW w:w="3249" w:type="dxa"/>
            <w:gridSpan w:val="3"/>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796"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3344" w:type="dxa"/>
            <w:gridSpan w:val="4"/>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9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9"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widowControl/>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sz w:val="18"/>
                <w:szCs w:val="18"/>
              </w:rPr>
            </w:pPr>
          </w:p>
        </w:tc>
        <w:tc>
          <w:tcPr>
            <w:tcW w:w="5049" w:type="dxa"/>
            <w:gridSpan w:val="5"/>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kinsoku/>
              <w:wordWrap/>
              <w:overflowPunct/>
              <w:topLinePunct w:val="0"/>
              <w:autoSpaceDE/>
              <w:autoSpaceDN/>
              <w:bidi w:val="0"/>
              <w:adjustRightInd/>
              <w:snapToGrid/>
              <w:spacing w:line="420" w:lineRule="exact"/>
              <w:ind w:right="105"/>
              <w:jc w:val="center"/>
              <w:textAlignment w:val="auto"/>
              <w:rPr>
                <w:rFonts w:hint="eastAsia" w:ascii="方正书宋_GBK" w:hAnsi="方正书宋_GBK" w:eastAsia="方正书宋_GBK" w:cs="方正书宋_GBK"/>
                <w:b/>
                <w:sz w:val="18"/>
                <w:szCs w:val="18"/>
              </w:rPr>
            </w:pPr>
            <w:r>
              <w:rPr>
                <w:rFonts w:hint="eastAsia" w:ascii="方正书宋_GBK" w:hAnsi="方正书宋_GBK" w:eastAsia="方正书宋_GBK" w:cs="方正书宋_GBK"/>
                <w:kern w:val="0"/>
                <w:sz w:val="18"/>
                <w:szCs w:val="18"/>
              </w:rPr>
              <w:t>金额合计：       拾   万   仟   佰   拾   元整</w:t>
            </w:r>
          </w:p>
        </w:tc>
        <w:tc>
          <w:tcPr>
            <w:tcW w:w="3240" w:type="dxa"/>
            <w:gridSpan w:val="4"/>
            <w:tcBorders>
              <w:top w:val="single" w:color="auto" w:sz="4" w:space="0"/>
              <w:left w:val="single" w:color="auto" w:sz="4" w:space="0"/>
              <w:bottom w:val="single" w:color="auto" w:sz="4" w:space="0"/>
              <w:right w:val="single" w:color="auto" w:sz="4" w:space="0"/>
            </w:tcBorders>
            <w:shd w:val="clear" w:color="auto" w:fill="auto"/>
            <w:noWrap w:val="0"/>
            <w:vAlign w:val="center"/>
          </w:tcPr>
          <w:p>
            <w:pPr>
              <w:pStyle w:val="2"/>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pacing w:val="-20"/>
                <w:sz w:val="18"/>
                <w:szCs w:val="18"/>
              </w:rPr>
            </w:pPr>
            <w:r>
              <w:rPr>
                <w:rFonts w:hint="eastAsia" w:ascii="方正书宋_GBK" w:hAnsi="方正书宋_GBK" w:eastAsia="方正书宋_GBK" w:cs="方正书宋_GBK"/>
                <w:spacing w:val="-20"/>
                <w:sz w:val="18"/>
                <w:szCs w:val="18"/>
              </w:rPr>
              <w:t>大小写数额不一致的，以大写金额为准。</w:t>
            </w:r>
          </w:p>
        </w:tc>
      </w:tr>
    </w:tbl>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rPr>
        <w:t xml:space="preserve">三、付款方式                                                 </w:t>
      </w:r>
      <w:r>
        <w:rPr>
          <w:rFonts w:hint="eastAsia" w:ascii="方正书宋_GBK" w:hAnsi="方正书宋_GBK" w:eastAsia="方正书宋_GBK" w:cs="方正书宋_GBK"/>
          <w:sz w:val="22"/>
          <w:szCs w:val="22"/>
        </w:rPr>
        <w:t>币种：{币种}</w:t>
      </w:r>
    </w:p>
    <w:tbl>
      <w:tblPr>
        <w:tblStyle w:val="4"/>
        <w:tblW w:w="8750"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5"/>
        <w:gridCol w:w="7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38" w:hRule="exact"/>
        </w:trPr>
        <w:tc>
          <w:tcPr>
            <w:tcW w:w="117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bCs/>
                <w:sz w:val="18"/>
                <w:szCs w:val="18"/>
              </w:rPr>
            </w:pPr>
            <w:r>
              <w:rPr>
                <w:rFonts w:hint="eastAsia" w:ascii="方正书宋_GBK" w:hAnsi="方正书宋_GBK" w:eastAsia="方正书宋_GBK" w:cs="方正书宋_GBK"/>
                <w:bCs/>
                <w:sz w:val="18"/>
                <w:szCs w:val="18"/>
              </w:rPr>
              <w:t>付款方式</w:t>
            </w:r>
          </w:p>
        </w:tc>
        <w:tc>
          <w:tcPr>
            <w:tcW w:w="7575" w:type="dxa"/>
            <w:tcBorders>
              <w:top w:val="single" w:color="auto" w:sz="4" w:space="0"/>
              <w:left w:val="single" w:color="auto" w:sz="4" w:space="0"/>
              <w:bottom w:val="single" w:color="auto" w:sz="4" w:space="0"/>
              <w:right w:val="single" w:color="auto" w:sz="4" w:space="0"/>
            </w:tcBorders>
            <w:noWrap w:val="0"/>
            <w:vAlign w:val="center"/>
          </w:tcPr>
          <w:p>
            <w:pPr>
              <w:pStyle w:val="2"/>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i/>
                <w:iCs/>
                <w:sz w:val="18"/>
                <w:szCs w:val="18"/>
                <w:u w:val="single"/>
              </w:rPr>
            </w:pPr>
            <w:r>
              <w:rPr>
                <w:rFonts w:hint="eastAsia" w:ascii="方正书宋_GBK" w:hAnsi="方正书宋_GBK" w:eastAsia="方正书宋_GBK" w:cs="方正书宋_GBK"/>
                <w:sz w:val="18"/>
                <w:szCs w:val="18"/>
              </w:rPr>
              <w:t>1.签署本合同时，支付全部价款的</w:t>
            </w:r>
            <w:r>
              <w:rPr>
                <w:rFonts w:hint="eastAsia" w:ascii="方正书宋_GBK" w:hAnsi="方正书宋_GBK" w:eastAsia="方正书宋_GBK" w:cs="方正书宋_GBK"/>
                <w:sz w:val="18"/>
                <w:szCs w:val="18"/>
                <w:u w:val="single"/>
              </w:rPr>
              <w:t xml:space="preserve">   </w:t>
            </w:r>
            <w:r>
              <w:rPr>
                <w:rFonts w:hint="eastAsia" w:ascii="方正书宋_GBK" w:hAnsi="方正书宋_GBK" w:eastAsia="方正书宋_GBK" w:cs="方正书宋_GBK"/>
                <w:sz w:val="18"/>
                <w:szCs w:val="18"/>
              </w:rPr>
              <w:t>%，计</w:t>
            </w:r>
            <w:r>
              <w:rPr>
                <w:rFonts w:hint="eastAsia" w:ascii="方正书宋_GBK" w:hAnsi="方正书宋_GBK" w:eastAsia="方正书宋_GBK" w:cs="方正书宋_GBK"/>
                <w:sz w:val="18"/>
                <w:szCs w:val="18"/>
                <w:u w:val="single"/>
              </w:rPr>
              <w:t xml:space="preserve">            </w:t>
            </w:r>
            <w:r>
              <w:rPr>
                <w:rFonts w:hint="eastAsia" w:ascii="方正书宋_GBK" w:hAnsi="方正书宋_GBK" w:eastAsia="方正书宋_GBK" w:cs="方正书宋_GBK"/>
                <w:sz w:val="18"/>
                <w:szCs w:val="18"/>
              </w:rPr>
              <w:t>元。</w:t>
            </w:r>
          </w:p>
          <w:p>
            <w:pPr>
              <w:pStyle w:val="2"/>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2.</w:t>
            </w:r>
            <w:r>
              <w:rPr>
                <w:rFonts w:hint="eastAsia" w:ascii="方正书宋_GBK" w:hAnsi="方正书宋_GBK" w:eastAsia="方正书宋_GBK" w:cs="方正书宋_GBK"/>
                <w:sz w:val="18"/>
                <w:szCs w:val="18"/>
                <w:u w:val="single"/>
              </w:rPr>
              <w:t xml:space="preserve">   </w:t>
            </w:r>
            <w:r>
              <w:rPr>
                <w:rFonts w:hint="eastAsia" w:ascii="方正书宋_GBK" w:hAnsi="方正书宋_GBK" w:eastAsia="方正书宋_GBK" w:cs="方正书宋_GBK"/>
                <w:sz w:val="18"/>
                <w:szCs w:val="18"/>
              </w:rPr>
              <w:t>年</w:t>
            </w:r>
            <w:r>
              <w:rPr>
                <w:rFonts w:hint="eastAsia" w:ascii="方正书宋_GBK" w:hAnsi="方正书宋_GBK" w:eastAsia="方正书宋_GBK" w:cs="方正书宋_GBK"/>
                <w:sz w:val="18"/>
                <w:szCs w:val="18"/>
                <w:u w:val="single"/>
              </w:rPr>
              <w:t xml:space="preserve">   </w:t>
            </w:r>
            <w:r>
              <w:rPr>
                <w:rFonts w:hint="eastAsia" w:ascii="方正书宋_GBK" w:hAnsi="方正书宋_GBK" w:eastAsia="方正书宋_GBK" w:cs="方正书宋_GBK"/>
                <w:sz w:val="18"/>
                <w:szCs w:val="18"/>
              </w:rPr>
              <w:t>月</w:t>
            </w:r>
            <w:r>
              <w:rPr>
                <w:rFonts w:hint="eastAsia" w:ascii="方正书宋_GBK" w:hAnsi="方正书宋_GBK" w:eastAsia="方正书宋_GBK" w:cs="方正书宋_GBK"/>
                <w:sz w:val="18"/>
                <w:szCs w:val="18"/>
                <w:u w:val="single"/>
              </w:rPr>
              <w:t xml:space="preserve">   </w:t>
            </w:r>
            <w:r>
              <w:rPr>
                <w:rFonts w:hint="eastAsia" w:ascii="方正书宋_GBK" w:hAnsi="方正书宋_GBK" w:eastAsia="方正书宋_GBK" w:cs="方正书宋_GBK"/>
                <w:sz w:val="18"/>
                <w:szCs w:val="18"/>
              </w:rPr>
              <w:t>日前支付全部价款的</w:t>
            </w:r>
            <w:r>
              <w:rPr>
                <w:rFonts w:hint="eastAsia" w:ascii="方正书宋_GBK" w:hAnsi="方正书宋_GBK" w:eastAsia="方正书宋_GBK" w:cs="方正书宋_GBK"/>
                <w:sz w:val="18"/>
                <w:szCs w:val="18"/>
                <w:u w:val="single"/>
              </w:rPr>
              <w:t xml:space="preserve">   </w:t>
            </w:r>
            <w:r>
              <w:rPr>
                <w:rFonts w:hint="eastAsia" w:ascii="方正书宋_GBK" w:hAnsi="方正书宋_GBK" w:eastAsia="方正书宋_GBK" w:cs="方正书宋_GBK"/>
                <w:sz w:val="18"/>
                <w:szCs w:val="18"/>
              </w:rPr>
              <w:t>%，计</w:t>
            </w:r>
            <w:r>
              <w:rPr>
                <w:rFonts w:hint="eastAsia" w:ascii="方正书宋_GBK" w:hAnsi="方正书宋_GBK" w:eastAsia="方正书宋_GBK" w:cs="方正书宋_GBK"/>
                <w:sz w:val="18"/>
                <w:szCs w:val="18"/>
                <w:u w:val="single"/>
              </w:rPr>
              <w:t xml:space="preserve">        </w:t>
            </w:r>
            <w:r>
              <w:rPr>
                <w:rFonts w:hint="eastAsia" w:ascii="方正书宋_GBK" w:hAnsi="方正书宋_GBK" w:eastAsia="方正书宋_GBK" w:cs="方正书宋_GBK"/>
                <w:sz w:val="18"/>
                <w:szCs w:val="18"/>
              </w:rPr>
              <w:t>元。</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3.</w:t>
            </w:r>
            <w:r>
              <w:rPr>
                <w:rFonts w:hint="eastAsia" w:ascii="方正书宋_GBK" w:hAnsi="方正书宋_GBK" w:eastAsia="方正书宋_GBK" w:cs="方正书宋_GBK"/>
                <w:sz w:val="18"/>
                <w:szCs w:val="18"/>
                <w:u w:val="single"/>
              </w:rPr>
              <w:t xml:space="preserve">   </w:t>
            </w:r>
            <w:r>
              <w:rPr>
                <w:rFonts w:hint="eastAsia" w:ascii="方正书宋_GBK" w:hAnsi="方正书宋_GBK" w:eastAsia="方正书宋_GBK" w:cs="方正书宋_GBK"/>
                <w:sz w:val="18"/>
                <w:szCs w:val="18"/>
              </w:rPr>
              <w:t>年</w:t>
            </w:r>
            <w:r>
              <w:rPr>
                <w:rFonts w:hint="eastAsia" w:ascii="方正书宋_GBK" w:hAnsi="方正书宋_GBK" w:eastAsia="方正书宋_GBK" w:cs="方正书宋_GBK"/>
                <w:sz w:val="18"/>
                <w:szCs w:val="18"/>
                <w:u w:val="single"/>
              </w:rPr>
              <w:t xml:space="preserve">  </w:t>
            </w:r>
            <w:r>
              <w:rPr>
                <w:rFonts w:hint="eastAsia" w:ascii="方正书宋_GBK" w:hAnsi="方正书宋_GBK" w:eastAsia="方正书宋_GBK" w:cs="方正书宋_GBK"/>
                <w:sz w:val="18"/>
                <w:szCs w:val="18"/>
              </w:rPr>
              <w:t>月</w:t>
            </w:r>
            <w:r>
              <w:rPr>
                <w:rFonts w:hint="eastAsia" w:ascii="方正书宋_GBK" w:hAnsi="方正书宋_GBK" w:eastAsia="方正书宋_GBK" w:cs="方正书宋_GBK"/>
                <w:sz w:val="18"/>
                <w:szCs w:val="18"/>
                <w:u w:val="single"/>
              </w:rPr>
              <w:t xml:space="preserve">  </w:t>
            </w:r>
            <w:r>
              <w:rPr>
                <w:rFonts w:hint="eastAsia" w:ascii="方正书宋_GBK" w:hAnsi="方正书宋_GBK" w:eastAsia="方正书宋_GBK" w:cs="方正书宋_GBK"/>
                <w:sz w:val="18"/>
                <w:szCs w:val="18"/>
              </w:rPr>
              <w:t>日前支付最后一期价款，计</w:t>
            </w:r>
            <w:r>
              <w:rPr>
                <w:rFonts w:hint="eastAsia" w:ascii="方正书宋_GBK" w:hAnsi="方正书宋_GBK" w:eastAsia="方正书宋_GBK" w:cs="方正书宋_GBK"/>
                <w:sz w:val="18"/>
                <w:szCs w:val="18"/>
                <w:u w:val="single"/>
              </w:rPr>
              <w:t xml:space="preserve">       </w:t>
            </w:r>
            <w:r>
              <w:rPr>
                <w:rFonts w:hint="eastAsia" w:ascii="方正书宋_GBK" w:hAnsi="方正书宋_GBK" w:eastAsia="方正书宋_GBK" w:cs="方正书宋_GBK"/>
                <w:sz w:val="18"/>
                <w:szCs w:val="18"/>
              </w:rPr>
              <w:t>元。</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□一次性付款方式；      □贷款；    □分期付款</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18"/>
                <w:szCs w:val="18"/>
                <w:u w:val="single"/>
              </w:rPr>
            </w:pPr>
            <w:r>
              <w:rPr>
                <w:rFonts w:hint="eastAsia" w:ascii="方正书宋_GBK" w:hAnsi="方正书宋_GBK" w:eastAsia="方正书宋_GBK" w:cs="方正书宋_GBK"/>
                <w:sz w:val="18"/>
                <w:szCs w:val="18"/>
              </w:rPr>
              <w:t>开户银行：</w:t>
            </w:r>
            <w:r>
              <w:rPr>
                <w:rFonts w:hint="eastAsia" w:ascii="方正书宋_GBK" w:hAnsi="方正书宋_GBK" w:eastAsia="方正书宋_GBK" w:cs="方正书宋_GBK"/>
                <w:sz w:val="18"/>
                <w:szCs w:val="18"/>
                <w:u w:val="single"/>
              </w:rPr>
              <w:t xml:space="preserve">                           </w:t>
            </w:r>
            <w:r>
              <w:rPr>
                <w:rFonts w:hint="eastAsia" w:ascii="方正书宋_GBK" w:hAnsi="方正书宋_GBK" w:eastAsia="方正书宋_GBK" w:cs="方正书宋_GBK"/>
                <w:sz w:val="18"/>
                <w:szCs w:val="18"/>
              </w:rPr>
              <w:t xml:space="preserve"> 帐号：</w:t>
            </w:r>
            <w:r>
              <w:rPr>
                <w:rFonts w:hint="eastAsia" w:ascii="方正书宋_GBK" w:hAnsi="方正书宋_GBK" w:eastAsia="方正书宋_GBK" w:cs="方正书宋_GBK"/>
                <w:sz w:val="18"/>
                <w:szCs w:val="18"/>
                <w:u w:val="single"/>
              </w:rPr>
              <w:t xml:space="preserve">                         </w:t>
            </w:r>
          </w:p>
        </w:tc>
      </w:tr>
    </w:tbl>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rPr>
        <w:t>四、交货方式</w:t>
      </w:r>
    </w:p>
    <w:tbl>
      <w:tblPr>
        <w:tblStyle w:val="4"/>
        <w:tblW w:w="8679"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5"/>
        <w:gridCol w:w="7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02" w:hRule="exact"/>
        </w:trPr>
        <w:tc>
          <w:tcPr>
            <w:tcW w:w="117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bCs/>
                <w:sz w:val="22"/>
                <w:szCs w:val="22"/>
              </w:rPr>
              <w:t>交货方式</w:t>
            </w:r>
          </w:p>
        </w:tc>
        <w:tc>
          <w:tcPr>
            <w:tcW w:w="7504" w:type="dxa"/>
            <w:tcBorders>
              <w:top w:val="single" w:color="auto" w:sz="4" w:space="0"/>
              <w:left w:val="single" w:color="auto" w:sz="4" w:space="0"/>
              <w:bottom w:val="single" w:color="auto" w:sz="4" w:space="0"/>
              <w:right w:val="single" w:color="auto" w:sz="4" w:space="0"/>
            </w:tcBorders>
            <w:noWrap w:val="0"/>
            <w:vAlign w:val="center"/>
          </w:tcPr>
          <w:p>
            <w:pPr>
              <w:pStyle w:val="2"/>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买受人自提  </w:t>
            </w:r>
          </w:p>
          <w:p>
            <w:pPr>
              <w:pStyle w:val="2"/>
              <w:keepNext w:val="0"/>
              <w:keepLines w:val="0"/>
              <w:pageBreakBefore w:val="0"/>
              <w:kinsoku/>
              <w:wordWrap/>
              <w:overflowPunct/>
              <w:topLinePunct w:val="0"/>
              <w:autoSpaceDE/>
              <w:autoSpaceDN/>
              <w:bidi w:val="0"/>
              <w:adjustRightInd/>
              <w:snapToGrid/>
              <w:spacing w:line="420" w:lineRule="exact"/>
              <w:ind w:left="420" w:hanging="440" w:hangingChars="20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  出卖人在本合同签订后</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日内交货,在交货时向买受人提供正规的质保单据和有效凭证：运费由</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承担。交货地址：</w:t>
            </w:r>
            <w:r>
              <w:rPr>
                <w:rFonts w:hint="eastAsia" w:ascii="方正书宋_GBK" w:hAnsi="方正书宋_GBK" w:eastAsia="方正书宋_GBK" w:cs="方正书宋_GBK"/>
                <w:sz w:val="22"/>
                <w:szCs w:val="22"/>
                <w:u w:val="single"/>
              </w:rPr>
              <w:t xml:space="preserve">                     </w:t>
            </w:r>
          </w:p>
        </w:tc>
      </w:tr>
    </w:tbl>
    <w:p>
      <w:pPr>
        <w:pStyle w:val="2"/>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b/>
          <w:bCs/>
          <w:sz w:val="22"/>
          <w:szCs w:val="22"/>
        </w:rPr>
        <w:t>五、违约责任</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1.产品经专业机构检测不符合国家标准或合同约定质量标准的，出卖人应无条件换、退货，并赔偿买受人由此受到的损失。</w:t>
      </w:r>
    </w:p>
    <w:p>
      <w:pPr>
        <w:keepNext w:val="0"/>
        <w:keepLines w:val="0"/>
        <w:pageBreakBefore w:val="0"/>
        <w:kinsoku/>
        <w:wordWrap/>
        <w:overflowPunct/>
        <w:topLinePunct w:val="0"/>
        <w:autoSpaceDE/>
        <w:autoSpaceDN/>
        <w:bidi w:val="0"/>
        <w:adjustRightInd/>
        <w:snapToGrid/>
        <w:spacing w:line="420" w:lineRule="exact"/>
        <w:ind w:firstLine="433" w:firstLineChars="197"/>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2.出卖人迟延交货的，每日应向买受人支付迟延部分价款</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{迟延违约金比例}%</w:t>
      </w:r>
      <w:r>
        <w:rPr>
          <w:rFonts w:hint="eastAsia" w:ascii="方正书宋_GBK" w:hAnsi="方正书宋_GBK" w:eastAsia="方正书宋_GBK" w:cs="方正书宋_GBK"/>
          <w:sz w:val="22"/>
          <w:szCs w:val="22"/>
          <w:u w:val="single"/>
        </w:rPr>
        <w:t>的违约金</w:t>
      </w:r>
      <w:r>
        <w:rPr>
          <w:rFonts w:hint="eastAsia" w:ascii="方正书宋_GBK" w:hAnsi="方正书宋_GBK" w:eastAsia="方正书宋_GBK" w:cs="方正书宋_GBK"/>
          <w:sz w:val="22"/>
          <w:szCs w:val="22"/>
        </w:rPr>
        <w:t>；迟延交货    {迟延天数}日的，除支付违约金外，买受人还有权解除合同。出卖人已收取定金、预付款或价款应全部返还，但买受人在不收取违约金的情况下，有权要求出卖人双倍返还定金。</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3.买受人逾期付款，买受人每日支付欠款总额{</w:t>
      </w:r>
      <w:r>
        <w:rPr>
          <w:rFonts w:hint="eastAsia" w:ascii="方正书宋_GBK" w:hAnsi="方正书宋_GBK" w:eastAsia="方正书宋_GBK" w:cs="方正书宋_GBK"/>
          <w:sz w:val="22"/>
          <w:szCs w:val="22"/>
          <w:u w:val="single"/>
        </w:rPr>
        <w:t>违约金比</w:t>
      </w:r>
      <w:r>
        <w:rPr>
          <w:rFonts w:hint="eastAsia" w:ascii="方正书宋_GBK" w:hAnsi="方正书宋_GBK" w:eastAsia="方正书宋_GBK" w:cs="方正书宋_GBK"/>
          <w:sz w:val="22"/>
          <w:szCs w:val="22"/>
        </w:rPr>
        <w:t>例}的违约金；货物未交付的，出卖人有权拒绝交货。</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4.买受人无正当理由拒收货物，应当承担赔偿责任。</w:t>
      </w:r>
    </w:p>
    <w:p>
      <w:pPr>
        <w:pStyle w:val="2"/>
        <w:keepNext w:val="0"/>
        <w:keepLines w:val="0"/>
        <w:pageBreakBefore w:val="0"/>
        <w:kinsoku/>
        <w:wordWrap/>
        <w:overflowPunct/>
        <w:topLinePunct w:val="0"/>
        <w:autoSpaceDE/>
        <w:autoSpaceDN/>
        <w:bidi w:val="0"/>
        <w:adjustRightInd/>
        <w:snapToGrid/>
        <w:spacing w:line="420" w:lineRule="exact"/>
        <w:ind w:firstLine="108" w:firstLineChars="49"/>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b/>
          <w:bCs/>
          <w:sz w:val="22"/>
          <w:szCs w:val="22"/>
        </w:rPr>
        <w:t>六、双方特别约定</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rPr>
        <w:t>{特别约定内容}</w:t>
      </w:r>
    </w:p>
    <w:p>
      <w:pPr>
        <w:pStyle w:val="2"/>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u w:val="single"/>
        </w:rPr>
        <w:t xml:space="preserve">                                                                                 </w:t>
      </w:r>
    </w:p>
    <w:p>
      <w:pPr>
        <w:pStyle w:val="2"/>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w:t>
      </w:r>
    </w:p>
    <w:p>
      <w:pPr>
        <w:pStyle w:val="2"/>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w:t>
      </w:r>
    </w:p>
    <w:p>
      <w:pPr>
        <w:pStyle w:val="2"/>
        <w:keepNext w:val="0"/>
        <w:keepLines w:val="0"/>
        <w:pageBreakBefore w:val="0"/>
        <w:kinsoku/>
        <w:wordWrap/>
        <w:overflowPunct/>
        <w:topLinePunct w:val="0"/>
        <w:autoSpaceDE/>
        <w:autoSpaceDN/>
        <w:bidi w:val="0"/>
        <w:adjustRightInd/>
        <w:snapToGrid/>
        <w:spacing w:line="420" w:lineRule="exact"/>
        <w:ind w:firstLine="108" w:firstLineChars="49"/>
        <w:textAlignment w:val="auto"/>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b/>
          <w:bCs/>
          <w:sz w:val="22"/>
          <w:szCs w:val="22"/>
        </w:rPr>
        <w:t>七 解决争议的方法</w:t>
      </w:r>
    </w:p>
    <w:p>
      <w:pPr>
        <w:pStyle w:val="2"/>
        <w:keepNext w:val="0"/>
        <w:keepLines w:val="0"/>
        <w:pageBreakBefore w:val="0"/>
        <w:kinsoku/>
        <w:wordWrap/>
        <w:overflowPunct/>
        <w:topLinePunct w:val="0"/>
        <w:autoSpaceDE/>
        <w:autoSpaceDN/>
        <w:bidi w:val="0"/>
        <w:adjustRightInd/>
        <w:snapToGrid/>
        <w:spacing w:line="420" w:lineRule="exact"/>
        <w:ind w:firstLine="398" w:firstLineChars="18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双方在履行本合同过程中发生争议，应协商解决，协商不成时，选择（不选定的划除）：{争议解决方式}</w:t>
      </w:r>
    </w:p>
    <w:p>
      <w:pPr>
        <w:pStyle w:val="2"/>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向</w:t>
      </w:r>
      <w:r>
        <w:rPr>
          <w:rFonts w:hint="eastAsia" w:ascii="方正书宋_GBK" w:hAnsi="方正书宋_GBK" w:eastAsia="方正书宋_GBK" w:cs="方正书宋_GBK"/>
          <w:sz w:val="22"/>
          <w:szCs w:val="22"/>
          <w:u w:val="single"/>
        </w:rPr>
        <w:t xml:space="preserve"> {仲裁委员会} </w:t>
      </w:r>
      <w:r>
        <w:rPr>
          <w:rFonts w:hint="eastAsia" w:ascii="方正书宋_GBK" w:hAnsi="方正书宋_GBK" w:eastAsia="方正书宋_GBK" w:cs="方正书宋_GBK"/>
          <w:sz w:val="22"/>
          <w:szCs w:val="22"/>
        </w:rPr>
        <w:t>仲裁；       □依法向 {人民法院} 起诉。</w:t>
      </w:r>
    </w:p>
    <w:p>
      <w:pPr>
        <w:pStyle w:val="2"/>
        <w:keepNext w:val="0"/>
        <w:keepLines w:val="0"/>
        <w:pageBreakBefore w:val="0"/>
        <w:kinsoku/>
        <w:wordWrap/>
        <w:overflowPunct/>
        <w:topLinePunct w:val="0"/>
        <w:autoSpaceDE/>
        <w:autoSpaceDN/>
        <w:bidi w:val="0"/>
        <w:adjustRightInd/>
        <w:snapToGrid/>
        <w:spacing w:line="420" w:lineRule="exact"/>
        <w:ind w:left="-28" w:leftChars="-171" w:hanging="331" w:hangingChars="150"/>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rPr>
        <w:t>注：请在签字前充分了解有关事宜，认真填写表格内容，仔细阅读并认可背面相关合同条款。</w:t>
      </w:r>
    </w:p>
    <w:p>
      <w:pPr>
        <w:pStyle w:val="2"/>
        <w:keepNext w:val="0"/>
        <w:keepLines w:val="0"/>
        <w:pageBreakBefore w:val="0"/>
        <w:kinsoku/>
        <w:wordWrap/>
        <w:overflowPunct/>
        <w:topLinePunct w:val="0"/>
        <w:autoSpaceDE/>
        <w:autoSpaceDN/>
        <w:bidi w:val="0"/>
        <w:adjustRightInd/>
        <w:snapToGrid/>
        <w:spacing w:line="420" w:lineRule="exact"/>
        <w:ind w:firstLine="274" w:firstLineChars="98"/>
        <w:jc w:val="center"/>
        <w:textAlignment w:val="auto"/>
        <w:rPr>
          <w:rFonts w:hint="eastAsia" w:ascii="方正书宋_GBK" w:hAnsi="方正书宋_GBK" w:eastAsia="方正书宋_GBK" w:cs="方正书宋_GBK"/>
          <w:b/>
          <w:bCs/>
          <w:sz w:val="22"/>
          <w:szCs w:val="22"/>
        </w:rPr>
      </w:pPr>
      <w:r>
        <w:rPr>
          <w:rFonts w:hint="eastAsia" w:ascii="方正黑体_GBK" w:hAnsi="方正黑体_GBK" w:eastAsia="方正黑体_GBK" w:cs="方正黑体_GBK"/>
          <w:b w:val="0"/>
          <w:bCs w:val="0"/>
          <w:sz w:val="28"/>
          <w:szCs w:val="28"/>
        </w:rPr>
        <w:t>合同条款</w:t>
      </w:r>
    </w:p>
    <w:p>
      <w:pPr>
        <w:pStyle w:val="2"/>
        <w:keepNext w:val="0"/>
        <w:keepLines w:val="0"/>
        <w:pageBreakBefore w:val="0"/>
        <w:kinsoku/>
        <w:wordWrap/>
        <w:overflowPunct/>
        <w:topLinePunct w:val="0"/>
        <w:autoSpaceDE/>
        <w:autoSpaceDN/>
        <w:bidi w:val="0"/>
        <w:adjustRightInd/>
        <w:snapToGrid/>
        <w:spacing w:line="420" w:lineRule="exact"/>
        <w:ind w:firstLine="433" w:firstLineChars="196"/>
        <w:textAlignment w:val="auto"/>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b/>
          <w:bCs/>
          <w:sz w:val="22"/>
          <w:szCs w:val="22"/>
        </w:rPr>
        <w:t>一、质量及验收</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提供的货物必须符合原厂质量检测标准和国家质量检测标准以及合同规格和性能要求。交付货物时,由出卖人现场完成对货物的安装调试（出卖人不提供非授权软件的安装服务）,由买受人对货物进行检验,如发现货物的品种、质量、型号、数量与合同规定不符,买受人有权拒绝接受。货物由买受人验收合格并运走后，出卖人不承担货物的品种、型号、数量与合同规定不符的责任。</w:t>
      </w:r>
    </w:p>
    <w:p>
      <w:pPr>
        <w:keepNext w:val="0"/>
        <w:keepLines w:val="0"/>
        <w:pageBreakBefore w:val="0"/>
        <w:kinsoku/>
        <w:wordWrap/>
        <w:overflowPunct/>
        <w:topLinePunct w:val="0"/>
        <w:autoSpaceDE/>
        <w:autoSpaceDN/>
        <w:bidi w:val="0"/>
        <w:adjustRightInd/>
        <w:snapToGrid/>
        <w:spacing w:line="420" w:lineRule="exact"/>
        <w:ind w:firstLine="433" w:firstLineChars="196"/>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rPr>
        <w:t>二、付款方式</w:t>
      </w:r>
    </w:p>
    <w:p>
      <w:pPr>
        <w:pStyle w:val="2"/>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出卖人应当向买受人出具合法有效的票据。选择除现金以外的其他金融方式付款的，收款凭证以金融机构出具的合法有效票据为准。</w:t>
      </w:r>
    </w:p>
    <w:p>
      <w:pPr>
        <w:pStyle w:val="2"/>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1．买受人可通过金融机构办理消费贷款支付部分或全部余款。但有以下情况之一的，视为买受人未按合同约定付款，应当承担违约责任。</w:t>
      </w:r>
    </w:p>
    <w:p>
      <w:pPr>
        <w:pStyle w:val="2"/>
        <w:keepNext w:val="0"/>
        <w:keepLines w:val="0"/>
        <w:pageBreakBefore w:val="0"/>
        <w:kinsoku/>
        <w:wordWrap/>
        <w:overflowPunct/>
        <w:topLinePunct w:val="0"/>
        <w:autoSpaceDE/>
        <w:autoSpaceDN/>
        <w:bidi w:val="0"/>
        <w:adjustRightInd/>
        <w:snapToGrid/>
        <w:spacing w:line="420" w:lineRule="exact"/>
        <w:ind w:firstLine="398" w:firstLineChars="18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（1）买受人未能在以上规定时间内向金融机构办妥有关消费贷款事宜（以实际发放贷款为准），且未及时采用现金一次性付款。</w:t>
      </w:r>
    </w:p>
    <w:p>
      <w:pPr>
        <w:pStyle w:val="2"/>
        <w:keepNext w:val="0"/>
        <w:keepLines w:val="0"/>
        <w:pageBreakBefore w:val="0"/>
        <w:kinsoku/>
        <w:wordWrap/>
        <w:overflowPunct/>
        <w:topLinePunct w:val="0"/>
        <w:autoSpaceDE/>
        <w:autoSpaceDN/>
        <w:bidi w:val="0"/>
        <w:adjustRightInd/>
        <w:snapToGrid/>
        <w:spacing w:line="420" w:lineRule="exact"/>
        <w:ind w:firstLine="398" w:firstLineChars="18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（2）买受人未能在以上规定时间内足额办出贷款，且余额未按时自行补足支付。</w:t>
      </w:r>
    </w:p>
    <w:p>
      <w:pPr>
        <w:pStyle w:val="2"/>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2．分期付款方式：{分期付款方式}</w:t>
      </w:r>
    </w:p>
    <w:p>
      <w:pPr>
        <w:pStyle w:val="2"/>
        <w:keepNext w:val="0"/>
        <w:keepLines w:val="0"/>
        <w:pageBreakBefore w:val="0"/>
        <w:kinsoku/>
        <w:wordWrap/>
        <w:overflowPunct/>
        <w:topLinePunct w:val="0"/>
        <w:autoSpaceDE/>
        <w:autoSpaceDN/>
        <w:bidi w:val="0"/>
        <w:adjustRightInd/>
        <w:snapToGrid/>
        <w:spacing w:line="420" w:lineRule="exact"/>
        <w:ind w:firstLine="448" w:firstLineChars="204"/>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 信用卡支付：按照买受人持有的信用卡所属金融机构的相关金融服务内容办理（具体内容经合同双方签字或盖章后，可作为本合同附件），如出卖人不是该金融机构服务对象，买受人应当采用{其他付款方式}。</w:t>
      </w:r>
    </w:p>
    <w:p>
      <w:pPr>
        <w:pStyle w:val="2"/>
        <w:keepNext w:val="0"/>
        <w:keepLines w:val="0"/>
        <w:pageBreakBefore w:val="0"/>
        <w:kinsoku/>
        <w:wordWrap/>
        <w:overflowPunct/>
        <w:topLinePunct w:val="0"/>
        <w:autoSpaceDE/>
        <w:autoSpaceDN/>
        <w:bidi w:val="0"/>
        <w:adjustRightInd/>
        <w:snapToGrid/>
        <w:spacing w:line="420" w:lineRule="exact"/>
        <w:ind w:left="1740" w:leftChars="200" w:hanging="1320" w:hangingChars="6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（2）以下情况视为买受人未按合同约定付款，买受人应当向出卖人承担违约责任。</w:t>
      </w:r>
    </w:p>
    <w:p>
      <w:pPr>
        <w:pStyle w:val="2"/>
        <w:keepNext w:val="0"/>
        <w:keepLines w:val="0"/>
        <w:pageBreakBefore w:val="0"/>
        <w:kinsoku/>
        <w:wordWrap/>
        <w:overflowPunct/>
        <w:topLinePunct w:val="0"/>
        <w:autoSpaceDE/>
        <w:autoSpaceDN/>
        <w:bidi w:val="0"/>
        <w:adjustRightInd/>
        <w:snapToGrid/>
        <w:spacing w:line="420" w:lineRule="exact"/>
        <w:ind w:firstLine="550" w:firstLineChars="25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用于支付的信用卡已经超出信用额度，不能按期完成当期支付，且买受人未能及时采用现金方式一次性付清余款。</w:t>
      </w:r>
    </w:p>
    <w:p>
      <w:pPr>
        <w:pStyle w:val="2"/>
        <w:keepNext w:val="0"/>
        <w:keepLines w:val="0"/>
        <w:pageBreakBefore w:val="0"/>
        <w:kinsoku/>
        <w:wordWrap/>
        <w:overflowPunct/>
        <w:topLinePunct w:val="0"/>
        <w:autoSpaceDE/>
        <w:autoSpaceDN/>
        <w:bidi w:val="0"/>
        <w:adjustRightInd/>
        <w:snapToGrid/>
        <w:spacing w:line="420" w:lineRule="exact"/>
        <w:ind w:firstLine="550" w:firstLineChars="25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用于支付的信用卡在付款期间内失效或被金融机构禁用，且买受人未能及时采用现金方式一次性付清余款。</w:t>
      </w:r>
    </w:p>
    <w:p>
      <w:pPr>
        <w:pStyle w:val="2"/>
        <w:keepNext w:val="0"/>
        <w:keepLines w:val="0"/>
        <w:pageBreakBefore w:val="0"/>
        <w:kinsoku/>
        <w:wordWrap/>
        <w:overflowPunct/>
        <w:topLinePunct w:val="0"/>
        <w:autoSpaceDE/>
        <w:autoSpaceDN/>
        <w:bidi w:val="0"/>
        <w:adjustRightInd/>
        <w:snapToGrid/>
        <w:spacing w:line="420" w:lineRule="exact"/>
        <w:ind w:firstLine="433" w:firstLineChars="196"/>
        <w:textAlignment w:val="auto"/>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b/>
          <w:bCs/>
          <w:sz w:val="22"/>
          <w:szCs w:val="22"/>
        </w:rPr>
        <w:t>三、关于修理、更换、退货的约定</w:t>
      </w:r>
    </w:p>
    <w:p>
      <w:pPr>
        <w:pStyle w:val="2"/>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1.出卖人保证所销售的货物均有生产厂家所授权的正规服务机构提供质保、“三包”及售后服务。</w:t>
      </w:r>
    </w:p>
    <w:p>
      <w:pPr>
        <w:pStyle w:val="2"/>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2.买受人要求出卖人修理、退货、换货，应具备以下条件：</w:t>
      </w:r>
    </w:p>
    <w:p>
      <w:pPr>
        <w:pStyle w:val="2"/>
        <w:keepNext w:val="0"/>
        <w:keepLines w:val="0"/>
        <w:pageBreakBefore w:val="0"/>
        <w:kinsoku/>
        <w:wordWrap/>
        <w:overflowPunct/>
        <w:topLinePunct w:val="0"/>
        <w:autoSpaceDE/>
        <w:autoSpaceDN/>
        <w:bidi w:val="0"/>
        <w:adjustRightInd/>
        <w:snapToGrid/>
        <w:spacing w:line="420" w:lineRule="exact"/>
        <w:ind w:firstLine="660" w:firstLineChars="3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（1）持有出卖人出具的该货物购货凭证；</w:t>
      </w:r>
    </w:p>
    <w:p>
      <w:pPr>
        <w:pStyle w:val="2"/>
        <w:keepNext w:val="0"/>
        <w:keepLines w:val="0"/>
        <w:pageBreakBefore w:val="0"/>
        <w:kinsoku/>
        <w:wordWrap/>
        <w:overflowPunct/>
        <w:topLinePunct w:val="0"/>
        <w:autoSpaceDE/>
        <w:autoSpaceDN/>
        <w:bidi w:val="0"/>
        <w:adjustRightInd/>
        <w:snapToGrid/>
        <w:spacing w:line="420" w:lineRule="exact"/>
        <w:ind w:firstLine="660" w:firstLineChars="3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（2）符合质保或国家“三包”规定；</w:t>
      </w:r>
    </w:p>
    <w:p>
      <w:pPr>
        <w:pStyle w:val="2"/>
        <w:keepNext w:val="0"/>
        <w:keepLines w:val="0"/>
        <w:pageBreakBefore w:val="0"/>
        <w:kinsoku/>
        <w:wordWrap/>
        <w:overflowPunct/>
        <w:topLinePunct w:val="0"/>
        <w:autoSpaceDE/>
        <w:autoSpaceDN/>
        <w:bidi w:val="0"/>
        <w:adjustRightInd/>
        <w:snapToGrid/>
        <w:spacing w:line="420" w:lineRule="exact"/>
        <w:ind w:firstLine="660" w:firstLineChars="3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在质保或国家“三包”规定外，买受人要求出卖人对货物进行修理的，应当另行支付费用。</w:t>
      </w:r>
    </w:p>
    <w:p>
      <w:pPr>
        <w:pStyle w:val="2"/>
        <w:keepNext w:val="0"/>
        <w:keepLines w:val="0"/>
        <w:pageBreakBefore w:val="0"/>
        <w:kinsoku/>
        <w:wordWrap/>
        <w:overflowPunct/>
        <w:topLinePunct w:val="0"/>
        <w:autoSpaceDE/>
        <w:autoSpaceDN/>
        <w:bidi w:val="0"/>
        <w:adjustRightInd/>
        <w:snapToGrid/>
        <w:spacing w:line="420" w:lineRule="exact"/>
        <w:ind w:firstLine="48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3.出卖人承诺在规定期限内无条件退货、换货的，在原包装不影响二次销售的情况下，不得拒绝买受人在该期限内提出的退货或换货要求。</w:t>
      </w:r>
    </w:p>
    <w:p>
      <w:pPr>
        <w:pStyle w:val="2"/>
        <w:keepNext w:val="0"/>
        <w:keepLines w:val="0"/>
        <w:pageBreakBefore w:val="0"/>
        <w:kinsoku/>
        <w:wordWrap/>
        <w:overflowPunct/>
        <w:topLinePunct w:val="0"/>
        <w:autoSpaceDE/>
        <w:autoSpaceDN/>
        <w:bidi w:val="0"/>
        <w:adjustRightInd/>
        <w:snapToGrid/>
        <w:spacing w:line="420" w:lineRule="exact"/>
        <w:ind w:firstLine="48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4.出卖人未承诺无条件退货、换货，或买受人因自身原因要求出卖人退货或换货的，是否给予退货或者换货，由出卖人与买受人协商解决。</w:t>
      </w:r>
    </w:p>
    <w:p>
      <w:pPr>
        <w:pStyle w:val="2"/>
        <w:keepNext w:val="0"/>
        <w:keepLines w:val="0"/>
        <w:pageBreakBefore w:val="0"/>
        <w:kinsoku/>
        <w:wordWrap/>
        <w:overflowPunct/>
        <w:topLinePunct w:val="0"/>
        <w:autoSpaceDE/>
        <w:autoSpaceDN/>
        <w:bidi w:val="0"/>
        <w:adjustRightInd/>
        <w:snapToGrid/>
        <w:spacing w:line="420" w:lineRule="exact"/>
        <w:ind w:firstLine="433" w:firstLineChars="196"/>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rPr>
        <w:t>四、不予保修的情况：</w:t>
      </w:r>
    </w:p>
    <w:p>
      <w:pPr>
        <w:pStyle w:val="2"/>
        <w:keepNext w:val="0"/>
        <w:keepLines w:val="0"/>
        <w:pageBreakBefore w:val="0"/>
        <w:kinsoku/>
        <w:wordWrap/>
        <w:overflowPunct/>
        <w:topLinePunct w:val="0"/>
        <w:autoSpaceDE/>
        <w:autoSpaceDN/>
        <w:bidi w:val="0"/>
        <w:adjustRightInd/>
        <w:snapToGrid/>
        <w:spacing w:line="420" w:lineRule="exact"/>
        <w:ind w:firstLine="431" w:firstLineChars="196"/>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（1）无购物凭证、涂改凭证（手机产品除外）或凭证与产品不符，且不能提出必要凭证和有说服力证明的；</w:t>
      </w:r>
    </w:p>
    <w:p>
      <w:pPr>
        <w:pStyle w:val="2"/>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（2）整机、部件已经超过保修期的；</w:t>
      </w:r>
    </w:p>
    <w:p>
      <w:pPr>
        <w:pStyle w:val="2"/>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（3）非生产厂家或出卖人授权的服务机构人员，对货物进行安装、修理、更改或拆卸造成的机械故障或损坏；</w:t>
      </w:r>
    </w:p>
    <w:p>
      <w:pPr>
        <w:pStyle w:val="2"/>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（4）因使用非生产厂家指定配件导致的故障或损坏；</w:t>
      </w:r>
    </w:p>
    <w:p>
      <w:pPr>
        <w:pStyle w:val="2"/>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（5）因人为因素或不可抗力（如地震、火灾）等原因造成的故障或损坏；</w:t>
      </w:r>
    </w:p>
    <w:p>
      <w:pPr>
        <w:pStyle w:val="2"/>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（6）买受人自行购买、制作、下载、使用的非授权软件所引起的版权问题或计算机故障。</w:t>
      </w:r>
    </w:p>
    <w:p>
      <w:pPr>
        <w:pStyle w:val="2"/>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出卖人在维修前，有义务明示买受人备份产品中的数据，否则，对数据丢失给买受人造成的损失应承担赔偿责任。</w:t>
      </w:r>
    </w:p>
    <w:p>
      <w:pPr>
        <w:pStyle w:val="2"/>
        <w:keepNext w:val="0"/>
        <w:keepLines w:val="0"/>
        <w:pageBreakBefore w:val="0"/>
        <w:kinsoku/>
        <w:wordWrap/>
        <w:overflowPunct/>
        <w:topLinePunct w:val="0"/>
        <w:autoSpaceDE/>
        <w:autoSpaceDN/>
        <w:bidi w:val="0"/>
        <w:adjustRightInd/>
        <w:snapToGrid/>
        <w:spacing w:line="420" w:lineRule="exact"/>
        <w:ind w:firstLine="433" w:firstLineChars="196"/>
        <w:textAlignment w:val="auto"/>
        <w:rPr>
          <w:rFonts w:hint="eastAsia" w:ascii="方正书宋_GBK" w:hAnsi="方正书宋_GBK" w:eastAsia="方正书宋_GBK" w:cs="方正书宋_GBK"/>
          <w:b/>
          <w:sz w:val="22"/>
          <w:szCs w:val="22"/>
          <w:lang w:eastAsia="zh-CN"/>
        </w:rPr>
      </w:pPr>
      <w:r>
        <w:rPr>
          <w:rFonts w:hint="eastAsia" w:ascii="方正书宋_GBK" w:hAnsi="方正书宋_GBK" w:eastAsia="方正书宋_GBK" w:cs="方正书宋_GBK"/>
          <w:b/>
          <w:sz w:val="22"/>
          <w:szCs w:val="22"/>
        </w:rPr>
        <w:t>五、</w:t>
      </w:r>
      <w:r>
        <w:rPr>
          <w:rFonts w:hint="eastAsia" w:ascii="方正书宋_GBK" w:hAnsi="方正书宋_GBK" w:eastAsia="方正书宋_GBK" w:cs="方正书宋_GBK"/>
          <w:b/>
          <w:sz w:val="22"/>
          <w:szCs w:val="22"/>
          <w:lang w:eastAsia="zh-CN"/>
        </w:rPr>
        <w:t>其他事项</w:t>
      </w:r>
    </w:p>
    <w:p>
      <w:pPr>
        <w:pStyle w:val="2"/>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1.本合同未尽事宜以及在履行中需变更等内容，通过订立补充条款或补充协议进行约定。本合同的补充条款、补充协议及附件均为本合同不可分割的部分，与本合同具有同等法律效力。</w:t>
      </w:r>
    </w:p>
    <w:p>
      <w:pPr>
        <w:pStyle w:val="2"/>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2．本合同自双方签字或盖章之日起生效，本合同各份，具有同等效力。</w:t>
      </w:r>
    </w:p>
    <w:p>
      <w:pPr>
        <w:pStyle w:val="2"/>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p>
    <w:p>
      <w:pPr>
        <w:pStyle w:val="2"/>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出卖人（盖章）{出卖人盖章}                       买受人（签名或盖章）{买受人签名或盖章}</w:t>
      </w:r>
    </w:p>
    <w:p>
      <w:pPr>
        <w:pStyle w:val="2"/>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{代理人（签字）}                       {代理人（签字）}</w:t>
      </w:r>
    </w:p>
    <w:p>
      <w:pPr>
        <w:pStyle w:val="2"/>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日期：  {日期1}                   日期：  {日期2}</w:t>
      </w:r>
    </w:p>
    <w:p>
      <w:pPr>
        <w:keepNext w:val="0"/>
        <w:keepLines w:val="0"/>
        <w:pageBreakBefore w:val="0"/>
        <w:kinsoku/>
        <w:wordWrap/>
        <w:overflowPunct/>
        <w:topLinePunct w:val="0"/>
        <w:autoSpaceDE/>
        <w:autoSpaceDN/>
        <w:bidi w:val="0"/>
        <w:adjustRightInd/>
        <w:snapToGrid/>
        <w:spacing w:line="420" w:lineRule="exact"/>
        <w:ind w:right="105"/>
        <w:jc w:val="right"/>
        <w:textAlignment w:val="auto"/>
        <w:rPr>
          <w:rFonts w:hint="eastAsia" w:ascii="方正书宋_GBK" w:hAnsi="方正书宋_GBK" w:eastAsia="方正书宋_GBK" w:cs="方正书宋_GBK"/>
          <w:b/>
          <w:sz w:val="22"/>
          <w:szCs w:val="22"/>
        </w:rPr>
      </w:pPr>
    </w:p>
    <w:p>
      <w:pPr>
        <w:keepNext w:val="0"/>
        <w:keepLines w:val="0"/>
        <w:pageBreakBefore w:val="0"/>
        <w:kinsoku/>
        <w:wordWrap/>
        <w:overflowPunct/>
        <w:topLinePunct w:val="0"/>
        <w:autoSpaceDE/>
        <w:autoSpaceDN/>
        <w:bidi w:val="0"/>
        <w:adjustRightInd/>
        <w:snapToGrid/>
        <w:spacing w:line="420" w:lineRule="exact"/>
        <w:ind w:right="105"/>
        <w:jc w:val="right"/>
        <w:textAlignment w:val="auto"/>
        <w:rPr>
          <w:rFonts w:hint="eastAsia" w:ascii="方正书宋_GBK" w:hAnsi="方正书宋_GBK" w:eastAsia="方正书宋_GBK" w:cs="方正书宋_GBK"/>
          <w:b/>
          <w:sz w:val="22"/>
          <w:szCs w:val="22"/>
        </w:rPr>
      </w:pPr>
    </w:p>
    <w:p>
      <w:pPr>
        <w:keepNext w:val="0"/>
        <w:keepLines w:val="0"/>
        <w:pageBreakBefore w:val="0"/>
        <w:kinsoku/>
        <w:wordWrap/>
        <w:overflowPunct/>
        <w:topLinePunct w:val="0"/>
        <w:autoSpaceDE/>
        <w:autoSpaceDN/>
        <w:bidi w:val="0"/>
        <w:adjustRightInd/>
        <w:snapToGrid/>
        <w:spacing w:line="420" w:lineRule="exact"/>
        <w:ind w:right="105"/>
        <w:jc w:val="right"/>
        <w:textAlignment w:val="auto"/>
        <w:rPr>
          <w:rFonts w:hint="eastAsia" w:ascii="仿宋_GB2312" w:eastAsia="仿宋_GB2312"/>
          <w:b/>
        </w:rPr>
      </w:pPr>
      <w:r>
        <w:rPr>
          <w:rFonts w:hint="eastAsia" w:ascii="方正书宋_GBK" w:hAnsi="方正书宋_GBK" w:eastAsia="方正书宋_GBK" w:cs="方正书宋_GBK"/>
          <w:b/>
          <w:sz w:val="22"/>
          <w:szCs w:val="22"/>
        </w:rPr>
        <w:t>天津市工商行政管理局监制</w:t>
      </w:r>
    </w:p>
    <w:p>
      <w:pPr>
        <w:rPr>
          <w:rFonts w:hint="eastAsia"/>
          <w:szCs w:val="32"/>
        </w:rPr>
      </w:pPr>
    </w:p>
    <w:p/>
    <w:sectPr>
      <w:footerReference r:id="rId3" w:type="default"/>
      <w:footerReference r:id="rId4" w:type="even"/>
      <w:pgSz w:w="11906" w:h="16838"/>
      <w:pgMar w:top="1021" w:right="1797" w:bottom="1021"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方正小标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Style w:val="6"/>
                              <w:sz w:val="28"/>
                              <w:szCs w:val="28"/>
                            </w:rPr>
                          </w:pPr>
                          <w:r>
                            <w:rPr>
                              <w:rStyle w:val="6"/>
                              <w:rFonts w:hint="eastAsia"/>
                              <w:sz w:val="28"/>
                              <w:szCs w:val="28"/>
                            </w:rPr>
                            <w:t>—</w:t>
                          </w:r>
                          <w:r>
                            <w:rPr>
                              <w:rStyle w:val="6"/>
                              <w:sz w:val="28"/>
                              <w:szCs w:val="28"/>
                            </w:rPr>
                            <w:fldChar w:fldCharType="begin"/>
                          </w:r>
                          <w:r>
                            <w:rPr>
                              <w:rStyle w:val="6"/>
                              <w:sz w:val="28"/>
                              <w:szCs w:val="28"/>
                            </w:rPr>
                            <w:instrText xml:space="preserve">PAGE  </w:instrText>
                          </w:r>
                          <w:r>
                            <w:rPr>
                              <w:rStyle w:val="6"/>
                              <w:sz w:val="28"/>
                              <w:szCs w:val="28"/>
                            </w:rPr>
                            <w:fldChar w:fldCharType="separate"/>
                          </w:r>
                          <w:r>
                            <w:rPr>
                              <w:rStyle w:val="6"/>
                              <w:sz w:val="28"/>
                              <w:szCs w:val="28"/>
                            </w:rPr>
                            <w:t>3</w:t>
                          </w:r>
                          <w:r>
                            <w:rPr>
                              <w:rStyle w:val="6"/>
                              <w:sz w:val="28"/>
                              <w:szCs w:val="28"/>
                            </w:rPr>
                            <w:fldChar w:fldCharType="end"/>
                          </w:r>
                          <w:r>
                            <w:rPr>
                              <w:rStyle w:val="6"/>
                              <w:rFonts w:hint="eastAsia"/>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rPr>
                        <w:rStyle w:val="6"/>
                        <w:sz w:val="28"/>
                        <w:szCs w:val="28"/>
                      </w:rPr>
                    </w:pPr>
                    <w:r>
                      <w:rPr>
                        <w:rStyle w:val="6"/>
                        <w:rFonts w:hint="eastAsia"/>
                        <w:sz w:val="28"/>
                        <w:szCs w:val="28"/>
                      </w:rPr>
                      <w:t>—</w:t>
                    </w:r>
                    <w:r>
                      <w:rPr>
                        <w:rStyle w:val="6"/>
                        <w:sz w:val="28"/>
                        <w:szCs w:val="28"/>
                      </w:rPr>
                      <w:fldChar w:fldCharType="begin"/>
                    </w:r>
                    <w:r>
                      <w:rPr>
                        <w:rStyle w:val="6"/>
                        <w:sz w:val="28"/>
                        <w:szCs w:val="28"/>
                      </w:rPr>
                      <w:instrText xml:space="preserve">PAGE  </w:instrText>
                    </w:r>
                    <w:r>
                      <w:rPr>
                        <w:rStyle w:val="6"/>
                        <w:sz w:val="28"/>
                        <w:szCs w:val="28"/>
                      </w:rPr>
                      <w:fldChar w:fldCharType="separate"/>
                    </w:r>
                    <w:r>
                      <w:rPr>
                        <w:rStyle w:val="6"/>
                        <w:sz w:val="28"/>
                        <w:szCs w:val="28"/>
                      </w:rPr>
                      <w:t>3</w:t>
                    </w:r>
                    <w:r>
                      <w:rPr>
                        <w:rStyle w:val="6"/>
                        <w:sz w:val="28"/>
                        <w:szCs w:val="28"/>
                      </w:rPr>
                      <w:fldChar w:fldCharType="end"/>
                    </w:r>
                    <w:r>
                      <w:rPr>
                        <w:rStyle w:val="6"/>
                        <w:rFonts w:hint="eastAsia"/>
                        <w:sz w:val="28"/>
                        <w:szCs w:val="28"/>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page" w:x="2113" w:yAlign="center"/>
      <w:rPr>
        <w:rStyle w:val="6"/>
        <w:sz w:val="28"/>
        <w:szCs w:val="28"/>
      </w:rPr>
    </w:pPr>
    <w:r>
      <w:rPr>
        <w:rStyle w:val="6"/>
        <w:rFonts w:hint="eastAsia"/>
        <w:sz w:val="28"/>
        <w:szCs w:val="28"/>
      </w:rPr>
      <w:t>—</w:t>
    </w:r>
    <w:r>
      <w:rPr>
        <w:rStyle w:val="6"/>
        <w:sz w:val="28"/>
        <w:szCs w:val="28"/>
      </w:rPr>
      <w:fldChar w:fldCharType="begin"/>
    </w:r>
    <w:r>
      <w:rPr>
        <w:rStyle w:val="6"/>
        <w:sz w:val="28"/>
        <w:szCs w:val="28"/>
      </w:rPr>
      <w:instrText xml:space="preserve">PAGE  </w:instrText>
    </w:r>
    <w:r>
      <w:rPr>
        <w:rStyle w:val="6"/>
        <w:sz w:val="28"/>
        <w:szCs w:val="28"/>
      </w:rPr>
      <w:fldChar w:fldCharType="separate"/>
    </w:r>
    <w:r>
      <w:rPr>
        <w:rStyle w:val="6"/>
        <w:sz w:val="28"/>
        <w:szCs w:val="28"/>
      </w:rPr>
      <w:t>4</w:t>
    </w:r>
    <w:r>
      <w:rPr>
        <w:rStyle w:val="6"/>
        <w:sz w:val="28"/>
        <w:szCs w:val="28"/>
      </w:rPr>
      <w:fldChar w:fldCharType="end"/>
    </w:r>
    <w:r>
      <w:rPr>
        <w:rStyle w:val="6"/>
        <w:rFonts w:hint="eastAsia"/>
        <w:sz w:val="28"/>
        <w:szCs w:val="28"/>
      </w:rPr>
      <w:t>—</w:t>
    </w:r>
  </w:p>
  <w:p>
    <w:pPr>
      <w:pStyle w:val="3"/>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F05058"/>
    <w:rsid w:val="10243019"/>
    <w:rsid w:val="706C1F70"/>
    <w:rsid w:val="7FE51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Courier New"/>
      <w:sz w:val="24"/>
      <w:szCs w:val="21"/>
    </w:rPr>
  </w:style>
  <w:style w:type="paragraph" w:styleId="3">
    <w:name w:val="footer"/>
    <w:basedOn w:val="1"/>
    <w:qFormat/>
    <w:uiPriority w:val="0"/>
    <w:pPr>
      <w:tabs>
        <w:tab w:val="center" w:pos="4153"/>
        <w:tab w:val="right" w:pos="8306"/>
      </w:tabs>
      <w:snapToGrid w:val="0"/>
      <w:jc w:val="left"/>
    </w:pPr>
    <w:rPr>
      <w:sz w:val="18"/>
      <w:szCs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2022-02-16T01:30:00Z</dcterms:created>
  <dc:creator>yin</dc:creator>
  <cp:lastModifiedBy>袁弘信</cp:lastModifiedBy>
  <dcterms:modified xsi:type="dcterms:W3CDTF">2022-02-18T07:40:04Z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