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449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lang w:val="en-US" w:eastAsia="zh-CN"/>
        </w:rPr>
      </w:pPr>
      <w:r>
        <w:rPr>
          <w:rFonts w:hint="eastAsia"/>
          <w:lang w:val="en-US" w:eastAsia="zh-CN"/>
        </w:rPr>
        <w:t>安全级DCS的功能要求</w:t>
      </w:r>
    </w:p>
    <w:p w14:paraId="67E93D4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&lt;FZSDCS34-OTS001&gt;安全级DCS执行的安全级功能</w:t>
      </w:r>
    </w:p>
    <w:p w14:paraId="02750D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安全级DCS主要完成以下安全级功能（F-SC1/F-SC2）:</w:t>
      </w:r>
    </w:p>
    <w:p w14:paraId="4DC6387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lang w:val="en-US" w:eastAsia="zh-CN"/>
        </w:rPr>
      </w:pPr>
      <w:r>
        <w:rPr>
          <w:rFonts w:hint="eastAsia"/>
          <w:lang w:val="en-US" w:eastAsia="zh-CN"/>
        </w:rPr>
        <w:t>自动停堆；</w:t>
      </w:r>
    </w:p>
    <w:p w14:paraId="3A22F6E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专设安全设施驱动（F-SC1/F-SC2）；</w:t>
      </w:r>
    </w:p>
    <w:p w14:paraId="78C6A87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支持系统驱动；</w:t>
      </w:r>
    </w:p>
    <w:p w14:paraId="016BC8D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自动汽机跳机；</w:t>
      </w:r>
    </w:p>
    <w:p w14:paraId="65B2758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允许信号的产生；</w:t>
      </w:r>
    </w:p>
    <w:p w14:paraId="0DA3EC1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联锁信号（C信号）的产生；</w:t>
      </w:r>
    </w:p>
    <w:p w14:paraId="6A27F2A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手动停堆和手动专设安全设施驱动；</w:t>
      </w:r>
    </w:p>
    <w:p w14:paraId="4AF1589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lang w:val="en-US" w:eastAsia="zh-CN"/>
        </w:rPr>
      </w:pPr>
      <w:r>
        <w:rPr>
          <w:rFonts w:hint="eastAsia"/>
          <w:lang w:val="en-US" w:eastAsia="zh-CN"/>
        </w:rPr>
        <w:t>事故后检测。</w:t>
      </w:r>
    </w:p>
    <w:p w14:paraId="769BFF3B">
      <w:pPr>
        <w:keepNext w:val="0"/>
        <w:keepLines w:val="0"/>
        <w:pageBreakBefore w:val="0"/>
        <w:widowControl w:val="0"/>
        <w:numPr>
          <w:ilvl w:val="0"/>
          <w:numId w:val="0"/>
        </w:numPr>
        <w:tabs>
          <w:tab w:val="left" w:pos="5663"/>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&lt;FZSDCS34-OTS002&gt;安全级DCS执行的非安全级功能</w:t>
      </w:r>
      <w:r>
        <w:rPr>
          <w:rFonts w:hint="eastAsia"/>
          <w:lang w:val="en-US" w:eastAsia="zh-CN"/>
        </w:rPr>
        <w:tab/>
      </w:r>
    </w:p>
    <w:p w14:paraId="34604C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安全级DCS需要执行的NC级功能主要包括：</w:t>
      </w:r>
    </w:p>
    <w:p w14:paraId="7FEF41A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lang w:val="en-US" w:eastAsia="zh-CN"/>
        </w:rPr>
      </w:pPr>
      <w:r>
        <w:rPr>
          <w:rFonts w:hint="eastAsia"/>
          <w:lang w:val="en-US" w:eastAsia="zh-CN"/>
        </w:rPr>
        <w:t>检测及诊断功能；</w:t>
      </w:r>
    </w:p>
    <w:p w14:paraId="7C69EF0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lang w:val="en-US" w:eastAsia="zh-CN"/>
        </w:rPr>
      </w:pPr>
      <w:r>
        <w:rPr>
          <w:rFonts w:hint="eastAsia"/>
          <w:lang w:val="en-US" w:eastAsia="zh-CN"/>
        </w:rPr>
        <w:t>数据传输功能；</w:t>
      </w:r>
    </w:p>
    <w:p w14:paraId="0F797BB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lang w:val="en-US" w:eastAsia="zh-CN"/>
        </w:rPr>
      </w:pPr>
      <w:r>
        <w:rPr>
          <w:rFonts w:hint="eastAsia"/>
          <w:lang w:val="en-US" w:eastAsia="zh-CN"/>
        </w:rPr>
        <w:t>定期试验功能；</w:t>
      </w:r>
    </w:p>
    <w:p w14:paraId="12044FE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lang w:val="en-US" w:eastAsia="zh-CN"/>
        </w:rPr>
      </w:pPr>
      <w:r>
        <w:rPr>
          <w:rFonts w:hint="eastAsia"/>
          <w:lang w:val="en-US" w:eastAsia="zh-CN"/>
        </w:rPr>
        <w:t>维护功能等。</w:t>
      </w:r>
    </w:p>
    <w:p w14:paraId="7DF28A0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lang w:val="en-US" w:eastAsia="zh-CN"/>
        </w:rPr>
      </w:pPr>
      <w:r>
        <w:rPr>
          <w:rFonts w:hint="eastAsia"/>
          <w:lang w:val="en-US" w:eastAsia="zh-CN"/>
        </w:rPr>
        <w:t>安全级DCS系统总体结构</w:t>
      </w:r>
    </w:p>
    <w:p w14:paraId="5335436C">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安全级DCS的位置</w:t>
      </w:r>
    </w:p>
    <w:p w14:paraId="2A52B1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&lt;FZSDCS34-OTS003&gt;安全级DCS的位置</w:t>
      </w:r>
    </w:p>
    <w:p w14:paraId="0AC336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安全级DCS在整个电厂仪控系统中的位置如图2虚线框出的带阴影的部分所示。</w:t>
      </w:r>
    </w:p>
    <w:p w14:paraId="51B1492A">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lang w:val="en-US" w:eastAsia="zh-CN"/>
        </w:rPr>
      </w:pPr>
      <w:bookmarkStart w:id="0" w:name="_GoBack"/>
      <w:bookmarkEnd w:id="0"/>
      <w:r>
        <w:rPr>
          <w:rFonts w:hint="eastAsia"/>
          <w:lang w:val="en-US" w:eastAsia="zh-CN"/>
        </w:rPr>
        <w:t>安全级DCS总体架构</w:t>
      </w:r>
    </w:p>
    <w:p w14:paraId="238DE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&lt;FZSDCS34-OTS004&gt; 总体架构</w:t>
      </w:r>
    </w:p>
    <w:p w14:paraId="329D0E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总体上，安全级DCS包含四个保护组（保护组Ⅰ、保护组Ⅱ、保护组Ⅲ以及保护组Ⅳ）和两个逻辑系列（逻辑系列A和逻辑系列B），每个保护组分为两个多样性子组，每个逻辑系列包含F-SC1、F-SC2两个安全等级的专设驱动系统，每个逻辑系列中执行F-SC1级功能也分为两个多样性子组。根据上游设计输入要求，本项目安全级DCS采用图3所示的系统架构。</w:t>
      </w:r>
    </w:p>
    <w:p w14:paraId="791F12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&lt;FZSDCS34-OTS005&gt; 主要设备说明</w:t>
      </w:r>
    </w:p>
    <w:p w14:paraId="7D48D9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安全级DCS架构中主要的设备及功能说明如下：</w:t>
      </w:r>
    </w:p>
    <w:p w14:paraId="25C3741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PIPS：用于现场传感器信号的调理、供电、分配和隔离；</w:t>
      </w:r>
    </w:p>
    <w:p w14:paraId="38C538B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RTC：采集来自PIPS的保护参数信号，对其进行运算，并产生通道级紧急停堆信号和用于专设安全设施驱动的“局部脱扣”信号；</w:t>
      </w:r>
    </w:p>
    <w:p w14:paraId="4C4D6DB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TU：用于信号的传输，与控制盘、SVDU和网关的接口；</w:t>
      </w:r>
    </w:p>
    <w:p w14:paraId="6F3DDA4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ESFAC：主要用于F-SC1专设安全设施驱动和专设支持系统的逻辑处理，产生专设驱动信号送至PLM；</w:t>
      </w:r>
    </w:p>
    <w:p w14:paraId="6663611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ESFSC2：主要用于F-SC2专设安全设备驱动逻辑的处理，产生专设驱动信号送至PLM；</w:t>
      </w:r>
    </w:p>
    <w:p w14:paraId="514907C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PAC：用于不同安全等级的专设驱动信号的优先级管理和设备驱动功能，其中主要有PLM模块组成；</w:t>
      </w:r>
    </w:p>
    <w:p w14:paraId="418F825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SVDU：安全显示单元，用于PAMS参数显示、有哪些旁通级复位、定期试验等功能；</w:t>
      </w:r>
    </w:p>
    <w:p w14:paraId="176E35D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hint="eastAsia"/>
          <w:lang w:val="en-US" w:eastAsia="zh-CN"/>
        </w:rPr>
        <w:t>GW：用于安全级与非安全级系统之间的数据传递功能；</w:t>
      </w:r>
    </w:p>
    <w:p w14:paraId="15F7628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lang w:val="en-US" w:eastAsia="zh-CN"/>
        </w:rPr>
      </w:pPr>
      <w:r>
        <w:rPr>
          <w:rFonts w:hint="eastAsia"/>
          <w:lang w:val="en-US" w:eastAsia="zh-CN"/>
        </w:rPr>
        <w:t>MTS：用于执行下装、参数修改、档期试验等维护功能。</w:t>
      </w:r>
    </w:p>
    <w:p w14:paraId="59FDB3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&lt;FZSDCS34-OTS006&gt;系统划分说明</w:t>
      </w:r>
    </w:p>
    <w:p w14:paraId="02AD5A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根据第3章对于安全级DCS的功能要求，可以将安全级DCS划分为如下几个组成部分：</w:t>
      </w:r>
    </w:p>
    <w:p w14:paraId="43B76CE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执行反应堆紧急停堆功能，此部分通过NASPIC平台现场控制站和信号预处理系统组成，本文中简称为反应堆紧急停堆系统（RTS);</w:t>
      </w:r>
    </w:p>
    <w:p w14:paraId="3953569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执行F-SC1/F-SC2专设安全设施驱动功能以及专设支持系统驱动功能，此部分通过NASPIC平台现场控制站和信号预处理心态组成，本文中简称为专设安全设施驱动系统（ESFAS）；</w:t>
      </w:r>
    </w:p>
    <w:p w14:paraId="413186B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实现优先级管理、驱动现场驱动器，并采集现场驱动器状态，此部分通过NASPIC平台的优先级控制模块和隔离模块实现，本文中简称为优选驱动系统（PACS）；</w:t>
      </w:r>
    </w:p>
    <w:p w14:paraId="377728A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提供允许旁通级复位、定期试验、事故和参数显示记录功能，此部分通过NASPIC平台的安全显示站实现，本文中此部分简称为安全显示控制系统（SICS）；</w:t>
      </w:r>
    </w:p>
    <w:p w14:paraId="42F04A8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执行书传递，将安全级DCS系统数据传输给NC DCS，此部分主要通过NASPIC平台网关站实现，本文中检测网关系统（GWS）；</w:t>
      </w:r>
    </w:p>
    <w:p w14:paraId="6E849E4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执行维护功能，包括子诊断、应用软件下装和定期试验等功能，此部分通过NASPIC平台工程师站、协议转换模块、交换机等设备实现，本文中简称维护系统（MS）。</w:t>
      </w:r>
    </w:p>
    <w:p w14:paraId="395943C7">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lang w:val="en-US" w:eastAsia="zh-CN"/>
        </w:rPr>
      </w:pPr>
      <w:r>
        <w:rPr>
          <w:rFonts w:hint="eastAsia"/>
          <w:lang w:val="en-US" w:eastAsia="zh-CN"/>
        </w:rPr>
        <w:t>功能要求</w:t>
      </w:r>
    </w:p>
    <w:p w14:paraId="0073C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&lt;FZSDCS34-OTS008&gt; 功能要求</w:t>
      </w:r>
    </w:p>
    <w:p w14:paraId="5764D8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RTS采集并处理现场仪表信号，将相关信号进行处理、阈值比较和逻辑符合，产生紧急停堆和专设安全设施驱动信号，并将相关参数信息、触发信号以及控制命令通过网络或硬接线传送到控制室进行指示和报警。</w:t>
      </w:r>
    </w:p>
    <w:p w14:paraId="02CCE1EB">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lang w:val="en-US" w:eastAsia="zh-CN"/>
        </w:rPr>
      </w:pPr>
      <w:r>
        <w:rPr>
          <w:rFonts w:hint="eastAsia"/>
          <w:lang w:val="en-US" w:eastAsia="zh-CN"/>
        </w:rPr>
        <w:t>系统设计</w:t>
      </w:r>
    </w:p>
    <w:p w14:paraId="7B8ADF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&lt;FZSDCS34-OTS009&gt; RTS系统设计</w:t>
      </w:r>
    </w:p>
    <w:p w14:paraId="4B49BD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反应堆紧急停堆系统功能有控制站和信号预处理系统实现。每个保护组配置有信号预处理机柜，用于实现现场信号的协调、隔离和分配；同时设置2个多样性的子组；考虑到停堆功能的重要性，结合平台特性每个保护组配置一个TU。</w:t>
      </w:r>
    </w:p>
    <w:p w14:paraId="00B590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RTS架构示意图如图5所示；</w:t>
      </w:r>
    </w:p>
    <w:p w14:paraId="0C71C0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 xml:space="preserve">图5RTS系统架构图 </w:t>
      </w:r>
    </w:p>
    <w:p w14:paraId="5FA38E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&lt;FZSDCS34-OTS010&gt; 信号预处理柜</w:t>
      </w:r>
    </w:p>
    <w:p w14:paraId="1214A1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信号预处理贵位于是个保护组中，有模拟量调理模块、热电阻调理模块、开关量调理模块等模块注册，主要实现以下功能：</w:t>
      </w:r>
    </w:p>
    <w:p w14:paraId="74265E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调理和（或）隔离来自现场的仪表信号，转换成标准信号后，分配至两个多样性子组或TU、其他仪控系统（如DAS和NC DCS）；</w:t>
      </w:r>
    </w:p>
    <w:p w14:paraId="399928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根据设计输入要求，为现场的仪表供电；</w:t>
      </w:r>
    </w:p>
    <w:p w14:paraId="0AEA09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采集LEVEL 2层盘台的手动控制信号，进行隔离分配至RTC的两个多样性子组；</w:t>
      </w:r>
    </w:p>
    <w:p w14:paraId="0ED71FF4">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&lt;FZSDCS34-OTS011&gt; F-SC2级信号预处理</w:t>
      </w:r>
    </w:p>
    <w:p w14:paraId="1F33713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针对F-SC2级的现场仪表，在保护组内可不单独配置信号预处理机柜，可通过配置单独的PIPS机箱（或隔离继电器）专门用于采集F-SC2级的现场仪表信号，若与F-SC1级的现场仪表共用PIPS机箱，需要考虑不同安全级信号之间的隔离。</w:t>
      </w:r>
    </w:p>
    <w:p w14:paraId="208F145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&lt;FZSDCS34-OTS012&gt;保护处理机柜</w:t>
      </w:r>
    </w:p>
    <w:p w14:paraId="765DCA6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处于多样性的考虑，紧急停堆功能被分配在两个多样性子系统中，RTC-11、 RTC-21、 RTC-31、 RTC-41对应多样性子系统1，RTC-12、RTC-22、RTC-32、RTC-42对应多样性子系统2，两个子系统相互独立，莫格子系统的故障不得妨碍另一个子系统功能的执行。</w:t>
      </w:r>
    </w:p>
    <w:p w14:paraId="6677FA3F">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&lt;FZSDCS34-OTS016&gt;RTS功能分配说明</w:t>
      </w:r>
    </w:p>
    <w:p w14:paraId="1B94C6F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 xml:space="preserve">RTS的每个保护组有两个功能完全独立的子组组成，以实现保护功能的多样性，根据反应堆保护系统需求规格书要求，将紧急停堆信号、P信号的功能分配如表3所示。 </w:t>
      </w:r>
    </w:p>
    <w:p w14:paraId="6FDC5C5D">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&lt;FZSDCS34-OTS017&gt; ESFAS功能要求</w:t>
      </w:r>
    </w:p>
    <w:p w14:paraId="3CB69AC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ESFAS用于执行F-SC1/F-SC2级专设安全设施驱动功能和支持系统驱动功能控制。ESFAS接收来自RTC对应子组的专设驱动信号或局部脱扣信号，采集现场传感器和BUP/ECP上的手动控制信号，经过相应的逻辑处理后，分解成部件级专设驱动 信号。</w:t>
      </w:r>
    </w:p>
    <w:p w14:paraId="40C4A07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&lt;FZSDCS34-OTS018&gt; ESFAS系统设计</w:t>
      </w:r>
    </w:p>
    <w:p w14:paraId="3EC3EA7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根据上游设计要求，ESFAS包括两个逻辑系列（A、B列），每个系列包含两个多样性子组，两个子组将专设驱动信号均送至PLM模块，在PLM进行或逻辑运算。</w:t>
      </w:r>
    </w:p>
    <w:p w14:paraId="1BD3BBEF">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为了实现对现场传感器信号和盘台控制信号的采集、隔离分配，在ESFAS中设置信号预处理系统，用于处理来自现场、盘台的信号。</w:t>
      </w:r>
    </w:p>
    <w:p w14:paraId="7C4389BE">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为了尽可能地降低ESFAS-A1/ESFAS-A2和ESFAS-B1/ESFAS-B2的负荷及其软件的复杂度，提高系统的可靠性，对于无多样性分组要求的F-SC1级功能，放在ESFAC-A3/B3中处理，ESFAC-A3/B3同时也接收来自ESFAC-A1/B1、ESFAC-A2/B2的信号。</w:t>
      </w:r>
    </w:p>
    <w:p w14:paraId="5EECC41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为了完成F-SC2级设备的驱动，在ESFAS中单独配置ESFSC2-A和ESFAS2-B，专门用于处理F-SC2级专设驱动功能。</w:t>
      </w:r>
    </w:p>
    <w:p w14:paraId="78E24D4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为了降低执行专设驱动功能的各个控制站的软件复杂度，每个系列都增设了2个传输站TU，其中TU-A1用于处理报警显示和首出故障等，TU-A2用于定期试验和运行旁通等功能。</w:t>
      </w:r>
    </w:p>
    <w:p w14:paraId="5209D65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&lt;FZSDCS34-OTS019&gt;信号预处理机柜</w:t>
      </w:r>
    </w:p>
    <w:p w14:paraId="2B465BF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ESFAS子系统的具体设计说明如下：</w:t>
      </w:r>
    </w:p>
    <w:p w14:paraId="19C66245">
      <w:pPr>
        <w:keepNext w:val="0"/>
        <w:keepLines w:val="0"/>
        <w:pageBreakBefore w:val="0"/>
        <w:widowControl w:val="0"/>
        <w:numPr>
          <w:ilvl w:val="0"/>
          <w:numId w:val="5"/>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信号预处理机柜</w:t>
      </w:r>
    </w:p>
    <w:p w14:paraId="21A3479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在逻辑系列的专设驱动系统配置PIPS，逻辑系列的PIPS主要实现如下功能：</w:t>
      </w:r>
    </w:p>
    <w:p w14:paraId="5354C5B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调试和（或）隔离来自现场的仪表信号，转换成标准信号后，分配至两个多样性子组ESFAC-A1/A2和ESFAC-B1/B2、ESFAC-A3/B3、ESFSC2-A/B、TY-A1/B1，以及其他控制系统（如DAS和NC DCS等系统）；根据设计输入要求，为现场的仪表供电；采集LEVEL 2层盘台的手动控制信号，进行隔离分配ESFAC、RTC、PLM模块；</w:t>
      </w:r>
    </w:p>
    <w:p w14:paraId="5E95D49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&lt;FZSDCS34-OTS020&gt; F-SC2级信号预处理</w:t>
      </w:r>
    </w:p>
    <w:p w14:paraId="0BA1E37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针对F-SC2级的现场仪表，在逻辑系列内配置单独的信号预处理机柜，用于对F-SC2级的现场仪表隔离与分配。</w:t>
      </w:r>
    </w:p>
    <w:p w14:paraId="30CFE0E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&lt;FZSDCS34-OTS021&gt; ESFAC-A1/A2、ESFAC-B1/B2</w:t>
      </w:r>
    </w:p>
    <w:p w14:paraId="6426E14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每个系列的ESFAC接收来自RTC相应子系统的局部脱扣信号，ESFAC-A1/B1对应逻辑系列中的子系统1，ESFAC-A2/B2对应逻辑系列中的子系统2.ESFAC实现的主要功能如下：</w:t>
      </w:r>
    </w:p>
    <w:p w14:paraId="26C51C8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接收来自RTC的局部脱扣信号，并对系统级ESFAS驱动进行2/4逻辑计算以及相应的逻辑处理，并分解成部件级ESFAS驱动信号通过硬接线送至PLM。子系统1和子系统2相互独立，每个子系统 输出的专设驱动信号先送至PLM，在PLM进行或运算；</w:t>
      </w:r>
    </w:p>
    <w:p w14:paraId="1437415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默写RTC产生的用于其他系统的控制或联锁信号先通过网络送至ESFAC，然后仅2/4逻辑计算后从ESFAC发出；</w:t>
      </w:r>
    </w:p>
    <w:p w14:paraId="0BDA4F7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接收来自系列PIPS处理后的信号，进行逻辑处理后产生传输安全设施驱动指令。</w:t>
      </w:r>
    </w:p>
    <w:p w14:paraId="6831EE5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处理卸载指令的2/3逻辑，产生本ESFAC单元的卸载指令；</w:t>
      </w:r>
    </w:p>
    <w:p w14:paraId="6CE1FE0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生成专设驱动动作的状态信号，将专设驱动动作状态信号送给本系列中的TU-A1,在TU-A1中实现首出故障判断的原因方程。</w:t>
      </w:r>
    </w:p>
    <w:p w14:paraId="480AB8C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&lt;FZSDCS34-OTS026&gt; ESFAS功能分配说明</w:t>
      </w:r>
    </w:p>
    <w:p w14:paraId="528FAA7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原则上，按设计要求进行专设驱动功能的分配，详细专设安全设施驱动功能分配如表4所示，对于设计方没有要求的，根据功能多样性、负荷均衡、信号联锁关系和接口最少等原则进行分配。表4专设功能分配原则。</w:t>
      </w:r>
    </w:p>
    <w:p w14:paraId="0E92A5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lang w:val="en-US" w:eastAsia="zh-CN"/>
        </w:rPr>
        <w:t>与主控室的接口</w:t>
      </w:r>
    </w:p>
    <w:p w14:paraId="5B1EDAA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&lt;FZSDCS34-OTS051&gt; 与主控室ECP的接口</w:t>
      </w:r>
    </w:p>
    <w:p w14:paraId="714845B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通过保护组或逻辑系列接收ECP上的手动停堆按钮信号，RPA300TO/RPB300TO不接受MCR/RSS模式切换的控制；</w:t>
      </w:r>
    </w:p>
    <w:p w14:paraId="7178D7AE">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ECP手动专设驱动命令一路送安全级DCS软逻辑参与相关的保护功能，一路送硬逻辑，作为安全级DCS软逻辑故障时的后备触发手段。</w:t>
      </w:r>
    </w:p>
    <w:p w14:paraId="3913633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将安全级DCS产生的知识信号送至ECP显示。</w:t>
      </w:r>
    </w:p>
    <w:p w14:paraId="3ABE9CBD">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default"/>
          <w:lang w:val="en-US" w:eastAsia="zh-CN"/>
        </w:rPr>
      </w:pPr>
      <w:r>
        <w:rPr>
          <w:rFonts w:hint="eastAsia"/>
          <w:lang w:val="en-US" w:eastAsia="zh-CN"/>
        </w:rPr>
        <w:t>硬接线接口</w:t>
      </w:r>
    </w:p>
    <w:p w14:paraId="44860D3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&lt;FZSDCS34-OTS053&gt; 安全级DCS内部的硬接线接口</w:t>
      </w:r>
    </w:p>
    <w:p w14:paraId="5BC97A12">
      <w:pPr>
        <w:keepNext w:val="0"/>
        <w:keepLines w:val="0"/>
        <w:pageBreakBefore w:val="0"/>
        <w:widowControl w:val="0"/>
        <w:numPr>
          <w:ilvl w:val="0"/>
          <w:numId w:val="6"/>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PIPS于各个控制站的硬接线</w:t>
      </w:r>
    </w:p>
    <w:p w14:paraId="298EDBE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保护组和逻辑系列的PIPS通过硬接线与各个控制站进行连接，传递的主要信号如下：</w:t>
      </w:r>
    </w:p>
    <w:p w14:paraId="206B903E">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采集现场的传感器信号，并将信号分配至各个控制站；</w:t>
      </w:r>
    </w:p>
    <w:p w14:paraId="2BB0B6C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采集其它系统送过来的联锁或控制信号；</w:t>
      </w:r>
    </w:p>
    <w:p w14:paraId="19BA281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采集盘台的手动控制、释放按钮等信号；</w:t>
      </w:r>
    </w:p>
    <w:p w14:paraId="64C6195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传递PIPS机柜的状态诊断信号到TU。</w:t>
      </w:r>
    </w:p>
    <w:p w14:paraId="740D4A5C">
      <w:pPr>
        <w:keepNext w:val="0"/>
        <w:keepLines w:val="0"/>
        <w:pageBreakBefore w:val="0"/>
        <w:widowControl w:val="0"/>
        <w:numPr>
          <w:ilvl w:val="0"/>
          <w:numId w:val="6"/>
        </w:numPr>
        <w:tabs>
          <w:tab w:val="left" w:pos="2577"/>
        </w:tabs>
        <w:kinsoku/>
        <w:wordWrap/>
        <w:overflowPunct/>
        <w:topLinePunct w:val="0"/>
        <w:autoSpaceDE/>
        <w:autoSpaceDN/>
        <w:bidi w:val="0"/>
        <w:adjustRightInd/>
        <w:snapToGrid/>
        <w:spacing w:line="360" w:lineRule="auto"/>
        <w:ind w:left="0" w:leftChars="0" w:firstLine="0" w:firstLineChars="0"/>
        <w:textAlignment w:val="auto"/>
        <w:rPr>
          <w:rFonts w:hint="eastAsia"/>
          <w:lang w:val="en-US" w:eastAsia="zh-CN"/>
        </w:rPr>
      </w:pPr>
      <w:r>
        <w:rPr>
          <w:rFonts w:hint="eastAsia"/>
          <w:lang w:val="en-US" w:eastAsia="zh-CN"/>
        </w:rPr>
        <w:t>RTC与ESFAC的硬接线连接，主要传输快冷信号，A/B系列间交换的硬接线信号，需要搭建去耦电路进行去耦。</w:t>
      </w:r>
    </w:p>
    <w:p w14:paraId="1ECD141E">
      <w:pPr>
        <w:keepNext w:val="0"/>
        <w:keepLines w:val="0"/>
        <w:pageBreakBefore w:val="0"/>
        <w:widowControl w:val="0"/>
        <w:numPr>
          <w:ilvl w:val="0"/>
          <w:numId w:val="6"/>
        </w:numPr>
        <w:tabs>
          <w:tab w:val="left" w:pos="2577"/>
        </w:tabs>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ESFAC、ESFSC2与PAC的硬接线连接，主要传输自动专设驱动信号、模式切换开关信号和驱动设备反馈信号。</w:t>
      </w:r>
    </w:p>
    <w:p w14:paraId="7C5E161B">
      <w:pPr>
        <w:keepNext w:val="0"/>
        <w:keepLines w:val="0"/>
        <w:pageBreakBefore w:val="0"/>
        <w:widowControl w:val="0"/>
        <w:numPr>
          <w:ilvl w:val="0"/>
          <w:numId w:val="6"/>
        </w:numPr>
        <w:tabs>
          <w:tab w:val="left" w:pos="2577"/>
        </w:tabs>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ESFAC与ESFSC2硬接线连接主要传输专设联锁信号，ESFSC2向ESFAC传输信号时需要进行隔离，隔离装置安装在F-SC1级的ESFAC机柜内。</w:t>
      </w:r>
    </w:p>
    <w:p w14:paraId="32B9D425">
      <w:pPr>
        <w:keepNext w:val="0"/>
        <w:keepLines w:val="0"/>
        <w:pageBreakBefore w:val="0"/>
        <w:widowControl w:val="0"/>
        <w:numPr>
          <w:ilvl w:val="0"/>
          <w:numId w:val="6"/>
        </w:numPr>
        <w:tabs>
          <w:tab w:val="left" w:pos="2577"/>
        </w:tabs>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PAC与中间继电器机柜间通过硬接线传输硬逻辑驱动指令和模式切换开关信号。</w:t>
      </w:r>
    </w:p>
    <w:p w14:paraId="028A9C72">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lang w:val="en-US" w:eastAsia="zh-CN"/>
        </w:rPr>
      </w:pPr>
      <w:r>
        <w:rPr>
          <w:rFonts w:hint="eastAsia"/>
          <w:lang w:val="en-US" w:eastAsia="zh-CN"/>
        </w:rPr>
        <w:t>网络接口</w:t>
      </w:r>
    </w:p>
    <w:p w14:paraId="3248B50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&lt;FZSDCS34-OTS054&gt; 安全级DCS内部的网络接口</w:t>
      </w:r>
    </w:p>
    <w:p w14:paraId="2E3E4626">
      <w:pPr>
        <w:keepNext w:val="0"/>
        <w:keepLines w:val="0"/>
        <w:pageBreakBefore w:val="0"/>
        <w:widowControl w:val="0"/>
        <w:numPr>
          <w:ilvl w:val="0"/>
          <w:numId w:val="7"/>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RTS内部之间</w:t>
      </w:r>
    </w:p>
    <w:p w14:paraId="4151A33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各保护组之间通过点对点网络传输“局部脱扣”信号；</w:t>
      </w:r>
    </w:p>
    <w:p w14:paraId="4F6FCD9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两个多样性子组与保护组TU间采用点对点网络进行通信。</w:t>
      </w:r>
    </w:p>
    <w:p w14:paraId="26CE1DB9">
      <w:pPr>
        <w:keepNext w:val="0"/>
        <w:keepLines w:val="0"/>
        <w:pageBreakBefore w:val="0"/>
        <w:widowControl w:val="0"/>
        <w:numPr>
          <w:ilvl w:val="0"/>
          <w:numId w:val="7"/>
        </w:numPr>
        <w:tabs>
          <w:tab w:val="left" w:pos="2577"/>
        </w:tabs>
        <w:kinsoku/>
        <w:wordWrap/>
        <w:overflowPunct/>
        <w:topLinePunct w:val="0"/>
        <w:autoSpaceDE/>
        <w:autoSpaceDN/>
        <w:bidi w:val="0"/>
        <w:adjustRightInd/>
        <w:snapToGrid/>
        <w:spacing w:line="360" w:lineRule="auto"/>
        <w:ind w:left="0" w:leftChars="0" w:firstLine="0" w:firstLineChars="0"/>
        <w:textAlignment w:val="auto"/>
        <w:rPr>
          <w:rFonts w:hint="eastAsia"/>
          <w:lang w:val="en-US" w:eastAsia="zh-CN"/>
        </w:rPr>
      </w:pPr>
      <w:r>
        <w:rPr>
          <w:rFonts w:hint="eastAsia"/>
          <w:lang w:val="en-US" w:eastAsia="zh-CN"/>
        </w:rPr>
        <w:t>ESFAS内部之间</w:t>
      </w:r>
    </w:p>
    <w:p w14:paraId="7DCC7D5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ESFAC、ESFSC2与逻辑系列TU之间通过点对点双向通信连接；</w:t>
      </w:r>
    </w:p>
    <w:p w14:paraId="77FA2E9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ESFAC-A3/B3之间、ESFSC2-A/B之间通过点对点通信连接，用于交换逻辑系列A和逻辑系列B之间需要交换的信号（详见各个系统功能图）；</w:t>
      </w:r>
    </w:p>
    <w:p w14:paraId="3E3C629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TU-A2/B2之间通过点对点的通信连接；</w:t>
      </w:r>
    </w:p>
    <w:p w14:paraId="4C10270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TU-A1/A2（B1/B2）之间通过点对点的通信连接；</w:t>
      </w:r>
    </w:p>
    <w:p w14:paraId="5D6C5DB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ESFAC-A1/A2/A3或ESFAC-B1/B2/B3之间通过点对点网络传输；</w:t>
      </w:r>
    </w:p>
    <w:p w14:paraId="3F2DE09C">
      <w:pPr>
        <w:keepNext w:val="0"/>
        <w:keepLines w:val="0"/>
        <w:pageBreakBefore w:val="0"/>
        <w:widowControl w:val="0"/>
        <w:numPr>
          <w:ilvl w:val="0"/>
          <w:numId w:val="7"/>
        </w:numPr>
        <w:tabs>
          <w:tab w:val="left" w:pos="2577"/>
        </w:tabs>
        <w:kinsoku/>
        <w:wordWrap/>
        <w:overflowPunct/>
        <w:topLinePunct w:val="0"/>
        <w:autoSpaceDE/>
        <w:autoSpaceDN/>
        <w:bidi w:val="0"/>
        <w:adjustRightInd/>
        <w:snapToGrid/>
        <w:spacing w:line="360" w:lineRule="auto"/>
        <w:ind w:left="0" w:leftChars="0" w:firstLine="0" w:firstLineChars="0"/>
        <w:textAlignment w:val="auto"/>
        <w:rPr>
          <w:rFonts w:hint="eastAsia"/>
          <w:lang w:val="en-US" w:eastAsia="zh-CN"/>
        </w:rPr>
      </w:pPr>
      <w:r>
        <w:rPr>
          <w:rFonts w:hint="eastAsia"/>
          <w:lang w:val="en-US" w:eastAsia="zh-CN"/>
        </w:rPr>
        <w:t>RTS和ESFAS之间</w:t>
      </w:r>
    </w:p>
    <w:p w14:paraId="487B2BA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TU-1/2/3/4与TU-A1/B1通过点对点网络传输报警等信号；</w:t>
      </w:r>
    </w:p>
    <w:p w14:paraId="4543AD2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TU-1/2/3/4与TU-A2/B2通过点对点网络传输定期试验、运行旁通等信号。</w:t>
      </w:r>
    </w:p>
    <w:p w14:paraId="6A5DAE2F">
      <w:pPr>
        <w:keepNext w:val="0"/>
        <w:keepLines w:val="0"/>
        <w:pageBreakBefore w:val="0"/>
        <w:widowControl w:val="0"/>
        <w:numPr>
          <w:ilvl w:val="0"/>
          <w:numId w:val="7"/>
        </w:numPr>
        <w:tabs>
          <w:tab w:val="left" w:pos="2577"/>
        </w:tabs>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逻辑系列和保护组的各个TU（除TU-A2/B2外）通过点对点通信（单向的）连接GWA/B。</w:t>
      </w:r>
    </w:p>
    <w:p w14:paraId="7B60BBF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lang w:val="en-US" w:eastAsia="zh-CN"/>
        </w:rPr>
      </w:pPr>
      <w:r>
        <w:rPr>
          <w:rFonts w:hint="eastAsia"/>
          <w:lang w:val="en-US" w:eastAsia="zh-CN"/>
        </w:rPr>
        <w:t>冗余和单一故障准则</w:t>
      </w:r>
    </w:p>
    <w:p w14:paraId="11EACED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&lt;FZSDCS34-OTS056&gt; 冗余和单一故障准则</w:t>
      </w:r>
    </w:p>
    <w:p w14:paraId="162CC27B">
      <w:pPr>
        <w:keepNext w:val="0"/>
        <w:keepLines w:val="0"/>
        <w:pageBreakBefore w:val="0"/>
        <w:widowControl w:val="0"/>
        <w:numPr>
          <w:ilvl w:val="0"/>
          <w:numId w:val="8"/>
        </w:numPr>
        <w:tabs>
          <w:tab w:val="left" w:pos="2577"/>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信号检测层面的冗余</w:t>
      </w:r>
    </w:p>
    <w:p w14:paraId="7469061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对于与反应堆紧急停堆和专设安全设施驱动系统相关的功能，其在信号检测层面提供了四重冗余的设计，分别对于四个独立的保护组。</w:t>
      </w:r>
    </w:p>
    <w:p w14:paraId="16D7E3D4">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事故后检测系统所检测的参数也是冗余设置的，分别有对应的保护组进行采集和处理。</w:t>
      </w:r>
    </w:p>
    <w:p w14:paraId="5D8F624B">
      <w:pPr>
        <w:keepNext w:val="0"/>
        <w:keepLines w:val="0"/>
        <w:pageBreakBefore w:val="0"/>
        <w:widowControl w:val="0"/>
        <w:numPr>
          <w:ilvl w:val="0"/>
          <w:numId w:val="8"/>
        </w:numPr>
        <w:tabs>
          <w:tab w:val="left" w:pos="2577"/>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信号驱动层面的冗余设计</w:t>
      </w:r>
    </w:p>
    <w:p w14:paraId="484E3A5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对于反应堆紧急停堆功能，安全级DCS在信号驱动层面提供了四重冗余的设计，分别对于四个独立的保护组。对于专设安全设施驱动功能，安全级DCS设计了两个逻辑序列。针对用于控制分励和失压线圈的停堆信号，采用双DO与逻辑设计，以避免由于单个DO模块的故障及维护导致本通道停堆断路器打开。</w:t>
      </w:r>
    </w:p>
    <w:p w14:paraId="7CFD7776">
      <w:pPr>
        <w:keepNext w:val="0"/>
        <w:keepLines w:val="0"/>
        <w:pageBreakBefore w:val="0"/>
        <w:widowControl w:val="0"/>
        <w:numPr>
          <w:ilvl w:val="0"/>
          <w:numId w:val="8"/>
        </w:numPr>
        <w:tabs>
          <w:tab w:val="left" w:pos="2577"/>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处理单元和通信的冗余设计</w:t>
      </w:r>
    </w:p>
    <w:p w14:paraId="52B836E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安全及DCS内的各个控制转采用热备的处理器配置，对于保护组之间交换局部脱扣信号的通信链路，进行冗余配置，以避免单一通信链路故障导致反应堆保护系统功能的退化。</w:t>
      </w:r>
    </w:p>
    <w:p w14:paraId="2BB0CF36">
      <w:pPr>
        <w:keepNext w:val="0"/>
        <w:keepLines w:val="0"/>
        <w:pageBreakBefore w:val="0"/>
        <w:widowControl w:val="0"/>
        <w:numPr>
          <w:ilvl w:val="0"/>
          <w:numId w:val="8"/>
        </w:numPr>
        <w:tabs>
          <w:tab w:val="left" w:pos="2577"/>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供电的冗余设计</w:t>
      </w:r>
    </w:p>
    <w:p w14:paraId="01AAA0D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各个保护组分别有独立的不间断的电源供电，此外每个电源柜配置有冗余的供电和供电模块，以避免单一电源模块故障导致柜内设备供电的丧失。</w:t>
      </w:r>
    </w:p>
    <w:p w14:paraId="589030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sectPr>
          <w:pgSz w:w="11906" w:h="16838"/>
          <w:pgMar w:top="1440" w:right="1800" w:bottom="1440" w:left="1800" w:header="851" w:footer="992" w:gutter="0"/>
          <w:cols w:space="425" w:num="1"/>
          <w:docGrid w:type="lines" w:linePitch="312" w:charSpace="0"/>
        </w:sectPr>
      </w:pPr>
    </w:p>
    <w:p w14:paraId="6632922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附表1 需求追踪表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1"/>
        <w:gridCol w:w="1746"/>
        <w:gridCol w:w="3007"/>
        <w:gridCol w:w="3138"/>
      </w:tblGrid>
      <w:tr w14:paraId="21BB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668FBB3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序号</w:t>
            </w:r>
          </w:p>
        </w:tc>
        <w:tc>
          <w:tcPr>
            <w:tcW w:w="1746" w:type="dxa"/>
            <w:vAlign w:val="center"/>
          </w:tcPr>
          <w:p w14:paraId="34E1FC8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章节</w:t>
            </w:r>
          </w:p>
        </w:tc>
        <w:tc>
          <w:tcPr>
            <w:tcW w:w="3007" w:type="dxa"/>
            <w:vAlign w:val="center"/>
          </w:tcPr>
          <w:p w14:paraId="1177641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本文的需求编号</w:t>
            </w:r>
          </w:p>
        </w:tc>
        <w:tc>
          <w:tcPr>
            <w:tcW w:w="3138" w:type="dxa"/>
            <w:vAlign w:val="center"/>
          </w:tcPr>
          <w:p w14:paraId="694E358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《漳州3&amp;4号机制安全级DCS需求说明书》的需求编号/章节号</w:t>
            </w:r>
          </w:p>
        </w:tc>
      </w:tr>
      <w:tr w14:paraId="701B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53DB8AC9">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w:t>
            </w:r>
          </w:p>
        </w:tc>
        <w:tc>
          <w:tcPr>
            <w:tcW w:w="1746" w:type="dxa"/>
            <w:vAlign w:val="center"/>
          </w:tcPr>
          <w:p w14:paraId="284DFD8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1安全级DCS的功能要求</w:t>
            </w:r>
          </w:p>
        </w:tc>
        <w:tc>
          <w:tcPr>
            <w:tcW w:w="3007" w:type="dxa"/>
            <w:vAlign w:val="center"/>
          </w:tcPr>
          <w:p w14:paraId="6AA3B85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vertAlign w:val="baseline"/>
                <w:lang w:val="en-US" w:eastAsia="zh-CN"/>
              </w:rPr>
            </w:pPr>
            <w:r>
              <w:rPr>
                <w:rFonts w:hint="eastAsia"/>
                <w:lang w:val="en-US" w:eastAsia="zh-CN"/>
              </w:rPr>
              <w:t>&lt;FZSDCS34-OTS001&gt;安全级DCS执行的安全级功能</w:t>
            </w:r>
          </w:p>
        </w:tc>
        <w:tc>
          <w:tcPr>
            <w:tcW w:w="3138" w:type="dxa"/>
            <w:vAlign w:val="center"/>
          </w:tcPr>
          <w:p w14:paraId="6DC428F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&lt;FZSDCS34-SyRS004&gt;</w:t>
            </w:r>
          </w:p>
        </w:tc>
      </w:tr>
      <w:tr w14:paraId="44DA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0BC78B0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2</w:t>
            </w:r>
          </w:p>
        </w:tc>
        <w:tc>
          <w:tcPr>
            <w:tcW w:w="1746" w:type="dxa"/>
            <w:vAlign w:val="center"/>
          </w:tcPr>
          <w:p w14:paraId="488C27A4">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09193ADD">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&lt;FZSDCS34-OTS002&gt;安全级DCS执行的非安全级功能</w:t>
            </w:r>
          </w:p>
        </w:tc>
        <w:tc>
          <w:tcPr>
            <w:tcW w:w="3138" w:type="dxa"/>
            <w:vAlign w:val="center"/>
          </w:tcPr>
          <w:p w14:paraId="2571B13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&lt;FZSDCS34-SyRS005&gt;</w:t>
            </w:r>
          </w:p>
        </w:tc>
      </w:tr>
      <w:tr w14:paraId="41CE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631" w:type="dxa"/>
            <w:vAlign w:val="center"/>
          </w:tcPr>
          <w:p w14:paraId="055B5E1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3</w:t>
            </w:r>
          </w:p>
        </w:tc>
        <w:tc>
          <w:tcPr>
            <w:tcW w:w="1746" w:type="dxa"/>
            <w:vAlign w:val="center"/>
          </w:tcPr>
          <w:p w14:paraId="7424846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2、1安全级DCS的位置</w:t>
            </w:r>
          </w:p>
        </w:tc>
        <w:tc>
          <w:tcPr>
            <w:tcW w:w="3007" w:type="dxa"/>
            <w:vAlign w:val="center"/>
          </w:tcPr>
          <w:p w14:paraId="1BB4992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&lt;FZSDCS34-OTS003&gt;安全级DCS的位置</w:t>
            </w:r>
          </w:p>
        </w:tc>
        <w:tc>
          <w:tcPr>
            <w:tcW w:w="3138" w:type="dxa"/>
            <w:vAlign w:val="center"/>
          </w:tcPr>
          <w:p w14:paraId="39B4512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3、系统架构设计要求</w:t>
            </w:r>
          </w:p>
        </w:tc>
      </w:tr>
      <w:tr w14:paraId="4C79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768F54EF">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4</w:t>
            </w:r>
          </w:p>
        </w:tc>
        <w:tc>
          <w:tcPr>
            <w:tcW w:w="1746" w:type="dxa"/>
            <w:vAlign w:val="center"/>
          </w:tcPr>
          <w:p w14:paraId="5ACDC0E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vertAlign w:val="baseline"/>
                <w:lang w:val="en-US" w:eastAsia="zh-CN"/>
              </w:rPr>
            </w:pPr>
            <w:r>
              <w:rPr>
                <w:rFonts w:hint="eastAsia"/>
                <w:lang w:val="en-US" w:eastAsia="zh-CN"/>
              </w:rPr>
              <w:t>2、2安全级DCS总体架构</w:t>
            </w:r>
          </w:p>
        </w:tc>
        <w:tc>
          <w:tcPr>
            <w:tcW w:w="3007" w:type="dxa"/>
            <w:vAlign w:val="center"/>
          </w:tcPr>
          <w:p w14:paraId="42313DFD">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&lt;FZSDCS34-OTS004&gt; 总体架构</w:t>
            </w:r>
          </w:p>
        </w:tc>
        <w:tc>
          <w:tcPr>
            <w:tcW w:w="3138" w:type="dxa"/>
            <w:vAlign w:val="center"/>
          </w:tcPr>
          <w:p w14:paraId="73CA69F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&lt;FZSDCS34-SyRS006&gt;</w:t>
            </w:r>
          </w:p>
          <w:p w14:paraId="177D3BB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&lt;FZSDCS34-SyRS007&gt;</w:t>
            </w:r>
          </w:p>
          <w:p w14:paraId="0E30D4A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&lt;FZSDCS34-SyRS008&gt;</w:t>
            </w:r>
          </w:p>
        </w:tc>
      </w:tr>
      <w:tr w14:paraId="7AFA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79A48CF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5</w:t>
            </w:r>
          </w:p>
        </w:tc>
        <w:tc>
          <w:tcPr>
            <w:tcW w:w="1746" w:type="dxa"/>
            <w:vAlign w:val="center"/>
          </w:tcPr>
          <w:p w14:paraId="66292AE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6152B39B">
            <w:pPr>
              <w:keepNext w:val="0"/>
              <w:keepLines w:val="0"/>
              <w:pageBreakBefore w:val="0"/>
              <w:widowControl w:val="0"/>
              <w:numPr>
                <w:ilvl w:val="0"/>
                <w:numId w:val="0"/>
              </w:numPr>
              <w:tabs>
                <w:tab w:val="left" w:pos="2066"/>
                <w:tab w:val="left" w:pos="2577"/>
              </w:tabs>
              <w:kinsoku/>
              <w:wordWrap/>
              <w:overflowPunct/>
              <w:topLinePunct w:val="0"/>
              <w:autoSpaceDE/>
              <w:autoSpaceDN/>
              <w:bidi w:val="0"/>
              <w:adjustRightInd/>
              <w:snapToGrid/>
              <w:spacing w:line="240" w:lineRule="auto"/>
              <w:jc w:val="left"/>
              <w:textAlignment w:val="auto"/>
              <w:rPr>
                <w:rFonts w:hint="default"/>
                <w:vertAlign w:val="baseline"/>
                <w:lang w:val="en-US" w:eastAsia="zh-CN"/>
              </w:rPr>
            </w:pPr>
            <w:r>
              <w:rPr>
                <w:rFonts w:hint="eastAsia"/>
                <w:lang w:val="en-US" w:eastAsia="zh-CN"/>
              </w:rPr>
              <w:t>&lt;FZSDCS34-OTS005&gt; 主要设备说明</w:t>
            </w:r>
          </w:p>
        </w:tc>
        <w:tc>
          <w:tcPr>
            <w:tcW w:w="3138" w:type="dxa"/>
            <w:vAlign w:val="center"/>
          </w:tcPr>
          <w:p w14:paraId="3DA629C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&lt;FZSDCS34-SyRS008&gt;</w:t>
            </w:r>
          </w:p>
          <w:p w14:paraId="4FC3F06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&lt;FZSDCS34-SyRS010&gt;</w:t>
            </w:r>
          </w:p>
          <w:p w14:paraId="4E70023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&lt;FZSDCS34-SyRS011&gt;</w:t>
            </w:r>
          </w:p>
        </w:tc>
      </w:tr>
      <w:tr w14:paraId="25B6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26ED5B2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6</w:t>
            </w:r>
          </w:p>
        </w:tc>
        <w:tc>
          <w:tcPr>
            <w:tcW w:w="1746" w:type="dxa"/>
            <w:vAlign w:val="center"/>
          </w:tcPr>
          <w:p w14:paraId="1F07CF0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5B18757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&lt;FZSDCS34-OTS006&gt;系统划分说明</w:t>
            </w:r>
          </w:p>
        </w:tc>
        <w:tc>
          <w:tcPr>
            <w:tcW w:w="3138" w:type="dxa"/>
            <w:vAlign w:val="center"/>
          </w:tcPr>
          <w:p w14:paraId="4230F73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&lt;FZSDCS34-SyRS004&gt;</w:t>
            </w:r>
          </w:p>
          <w:p w14:paraId="43B32B7F">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&lt;FZSDCS34-SyRS005&gt;</w:t>
            </w:r>
          </w:p>
          <w:p w14:paraId="4463196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lang w:val="en-US" w:eastAsia="zh-CN"/>
              </w:rPr>
            </w:pPr>
            <w:r>
              <w:rPr>
                <w:rFonts w:hint="eastAsia"/>
                <w:lang w:val="en-US" w:eastAsia="zh-CN"/>
              </w:rPr>
              <w:t>&lt;FZSDCS34-SyRS006&gt;</w:t>
            </w:r>
          </w:p>
        </w:tc>
      </w:tr>
      <w:tr w14:paraId="7020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38ECFFF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7</w:t>
            </w:r>
          </w:p>
        </w:tc>
        <w:tc>
          <w:tcPr>
            <w:tcW w:w="1746" w:type="dxa"/>
            <w:vAlign w:val="center"/>
          </w:tcPr>
          <w:p w14:paraId="3336BC1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vertAlign w:val="baseline"/>
                <w:lang w:val="en-US" w:eastAsia="zh-CN"/>
              </w:rPr>
            </w:pPr>
            <w:r>
              <w:rPr>
                <w:rFonts w:hint="eastAsia"/>
                <w:lang w:val="en-US" w:eastAsia="zh-CN"/>
              </w:rPr>
              <w:t>2、2功能要求</w:t>
            </w:r>
          </w:p>
        </w:tc>
        <w:tc>
          <w:tcPr>
            <w:tcW w:w="3007" w:type="dxa"/>
            <w:vAlign w:val="center"/>
          </w:tcPr>
          <w:p w14:paraId="4DC49C3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&lt;FZSDCS34-OTS008&gt; 功能要求</w:t>
            </w:r>
          </w:p>
        </w:tc>
        <w:tc>
          <w:tcPr>
            <w:tcW w:w="3138" w:type="dxa"/>
            <w:vAlign w:val="center"/>
          </w:tcPr>
          <w:p w14:paraId="270E7D59">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&lt;FZSDCS34-SyRS009&gt;</w:t>
            </w:r>
          </w:p>
          <w:p w14:paraId="1E96A3C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&lt;FZSDCS34-SyRS0011&gt;</w:t>
            </w:r>
          </w:p>
        </w:tc>
      </w:tr>
      <w:tr w14:paraId="1331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44192A7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8</w:t>
            </w:r>
          </w:p>
        </w:tc>
        <w:tc>
          <w:tcPr>
            <w:tcW w:w="1746" w:type="dxa"/>
            <w:vAlign w:val="center"/>
          </w:tcPr>
          <w:p w14:paraId="11388C3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vertAlign w:val="baseline"/>
                <w:lang w:val="en-US" w:eastAsia="zh-CN"/>
              </w:rPr>
            </w:pPr>
            <w:r>
              <w:rPr>
                <w:rFonts w:hint="eastAsia"/>
                <w:lang w:val="en-US" w:eastAsia="zh-CN"/>
              </w:rPr>
              <w:t>2、3系统设计</w:t>
            </w:r>
          </w:p>
        </w:tc>
        <w:tc>
          <w:tcPr>
            <w:tcW w:w="3007" w:type="dxa"/>
            <w:vAlign w:val="center"/>
          </w:tcPr>
          <w:p w14:paraId="557A5DC0">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&lt;FZSDCS34-OTS009&gt; RTS系统设计</w:t>
            </w:r>
          </w:p>
        </w:tc>
        <w:tc>
          <w:tcPr>
            <w:tcW w:w="3138" w:type="dxa"/>
            <w:vAlign w:val="center"/>
          </w:tcPr>
          <w:p w14:paraId="265886EE">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&lt;FZSDCS34-SyRS009&gt;</w:t>
            </w:r>
          </w:p>
          <w:p w14:paraId="42145A5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&lt;FZSDCS34-SyRS012&gt;</w:t>
            </w:r>
          </w:p>
        </w:tc>
      </w:tr>
      <w:tr w14:paraId="16FD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2BDA76F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9</w:t>
            </w:r>
          </w:p>
        </w:tc>
        <w:tc>
          <w:tcPr>
            <w:tcW w:w="1746" w:type="dxa"/>
            <w:vAlign w:val="center"/>
          </w:tcPr>
          <w:p w14:paraId="30D1842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66D437A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vertAlign w:val="baseline"/>
                <w:lang w:val="en-US" w:eastAsia="zh-CN"/>
              </w:rPr>
            </w:pPr>
            <w:r>
              <w:rPr>
                <w:rFonts w:hint="eastAsia"/>
                <w:lang w:val="en-US" w:eastAsia="zh-CN"/>
              </w:rPr>
              <w:t>&lt;FZSDCS34-OTS010&gt; 信号预处理柜</w:t>
            </w:r>
          </w:p>
        </w:tc>
        <w:tc>
          <w:tcPr>
            <w:tcW w:w="3138" w:type="dxa"/>
            <w:vAlign w:val="center"/>
          </w:tcPr>
          <w:p w14:paraId="6256B23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&lt;FZSDCS34-SyRS010&gt;</w:t>
            </w:r>
          </w:p>
        </w:tc>
      </w:tr>
      <w:tr w14:paraId="0272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2FDF65EF">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10</w:t>
            </w:r>
          </w:p>
        </w:tc>
        <w:tc>
          <w:tcPr>
            <w:tcW w:w="1746" w:type="dxa"/>
            <w:vAlign w:val="center"/>
          </w:tcPr>
          <w:p w14:paraId="73C5921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38CB42F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&lt;FZSDCS34-OTS011&gt; F-SC2级信号预处理</w:t>
            </w:r>
          </w:p>
        </w:tc>
        <w:tc>
          <w:tcPr>
            <w:tcW w:w="3138" w:type="dxa"/>
            <w:vAlign w:val="center"/>
          </w:tcPr>
          <w:p w14:paraId="1E75045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&lt;FZSDCS34-SyRS003&gt;</w:t>
            </w:r>
          </w:p>
          <w:p w14:paraId="747E54F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&lt;FZSDCS34-SyRS010&gt;</w:t>
            </w:r>
          </w:p>
        </w:tc>
      </w:tr>
      <w:tr w14:paraId="4B39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4ED1CD3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11</w:t>
            </w:r>
          </w:p>
        </w:tc>
        <w:tc>
          <w:tcPr>
            <w:tcW w:w="1746" w:type="dxa"/>
            <w:vAlign w:val="center"/>
          </w:tcPr>
          <w:p w14:paraId="7170532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778FFAF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&lt;FZSDCS34-OTS012&gt;保护处理机柜</w:t>
            </w:r>
          </w:p>
        </w:tc>
        <w:tc>
          <w:tcPr>
            <w:tcW w:w="3138" w:type="dxa"/>
            <w:vAlign w:val="center"/>
          </w:tcPr>
          <w:p w14:paraId="700822F9">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&lt;FZSDCS34-SyRS012&gt;</w:t>
            </w:r>
          </w:p>
        </w:tc>
      </w:tr>
      <w:tr w14:paraId="5B21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26ED34D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12</w:t>
            </w:r>
          </w:p>
        </w:tc>
        <w:tc>
          <w:tcPr>
            <w:tcW w:w="1746" w:type="dxa"/>
            <w:vAlign w:val="center"/>
          </w:tcPr>
          <w:p w14:paraId="0223723F">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5BDAF5ED">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&lt;FZSDCS34-OTS016&gt;RTS功能分配说明</w:t>
            </w:r>
          </w:p>
        </w:tc>
        <w:tc>
          <w:tcPr>
            <w:tcW w:w="3138" w:type="dxa"/>
            <w:vAlign w:val="center"/>
          </w:tcPr>
          <w:p w14:paraId="663A7CB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&lt;FZSDCS34-SyRS004&gt;</w:t>
            </w:r>
          </w:p>
          <w:p w14:paraId="1D97DE1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&lt;FZSDCS34-SyRS012&gt;</w:t>
            </w:r>
          </w:p>
        </w:tc>
      </w:tr>
      <w:tr w14:paraId="685F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1A40BE2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13</w:t>
            </w:r>
          </w:p>
        </w:tc>
        <w:tc>
          <w:tcPr>
            <w:tcW w:w="1746" w:type="dxa"/>
            <w:vAlign w:val="center"/>
          </w:tcPr>
          <w:p w14:paraId="2DC5849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7332C2E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&lt;FZSDCS34-OTS017&gt; ESFAS功能要求</w:t>
            </w:r>
          </w:p>
        </w:tc>
        <w:tc>
          <w:tcPr>
            <w:tcW w:w="3138" w:type="dxa"/>
            <w:vAlign w:val="center"/>
          </w:tcPr>
          <w:p w14:paraId="0F6EE00D">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lang w:val="en-US" w:eastAsia="zh-CN"/>
              </w:rPr>
              <w:t>&lt;FZSDCS34-SyRS014&gt;</w:t>
            </w:r>
          </w:p>
        </w:tc>
      </w:tr>
      <w:tr w14:paraId="245D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75FD278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14</w:t>
            </w:r>
          </w:p>
        </w:tc>
        <w:tc>
          <w:tcPr>
            <w:tcW w:w="1746" w:type="dxa"/>
            <w:vAlign w:val="center"/>
          </w:tcPr>
          <w:p w14:paraId="442FB289">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59BE959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&lt;FZSDCS34-OTS018&gt; ESFAS系统设计</w:t>
            </w:r>
          </w:p>
        </w:tc>
        <w:tc>
          <w:tcPr>
            <w:tcW w:w="3138" w:type="dxa"/>
            <w:vAlign w:val="center"/>
          </w:tcPr>
          <w:p w14:paraId="32C4AAB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&lt;FZSDCS34-SyRS014&gt;</w:t>
            </w:r>
          </w:p>
        </w:tc>
      </w:tr>
      <w:tr w14:paraId="263F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7D86C8C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15</w:t>
            </w:r>
          </w:p>
        </w:tc>
        <w:tc>
          <w:tcPr>
            <w:tcW w:w="1746" w:type="dxa"/>
            <w:vAlign w:val="center"/>
          </w:tcPr>
          <w:p w14:paraId="521B62E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2F43DFFE">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&lt;FZSDCS34-OTS020&gt; F-SC2级信号预处理</w:t>
            </w:r>
          </w:p>
        </w:tc>
        <w:tc>
          <w:tcPr>
            <w:tcW w:w="3138" w:type="dxa"/>
            <w:vAlign w:val="center"/>
          </w:tcPr>
          <w:p w14:paraId="730E48E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&lt;FZSDCS34-SyRS003&gt;</w:t>
            </w:r>
          </w:p>
        </w:tc>
      </w:tr>
      <w:tr w14:paraId="12371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53E9D0D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16</w:t>
            </w:r>
          </w:p>
        </w:tc>
        <w:tc>
          <w:tcPr>
            <w:tcW w:w="1746" w:type="dxa"/>
            <w:vAlign w:val="center"/>
          </w:tcPr>
          <w:p w14:paraId="4DA9294E">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553612B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&lt;FZSDCS34-OTS021&gt; ESFAC-A1/A2、ESFAC-B1/B2</w:t>
            </w:r>
          </w:p>
        </w:tc>
        <w:tc>
          <w:tcPr>
            <w:tcW w:w="3138" w:type="dxa"/>
            <w:vAlign w:val="center"/>
          </w:tcPr>
          <w:p w14:paraId="1CE73D23">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&lt;FZSDCS34-SyRS014&gt;</w:t>
            </w:r>
          </w:p>
        </w:tc>
      </w:tr>
      <w:tr w14:paraId="0534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6BCC7289">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17</w:t>
            </w:r>
          </w:p>
        </w:tc>
        <w:tc>
          <w:tcPr>
            <w:tcW w:w="1746" w:type="dxa"/>
            <w:vAlign w:val="center"/>
          </w:tcPr>
          <w:p w14:paraId="7C5EB1F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p>
        </w:tc>
        <w:tc>
          <w:tcPr>
            <w:tcW w:w="3007" w:type="dxa"/>
            <w:vAlign w:val="center"/>
          </w:tcPr>
          <w:p w14:paraId="6D78EA7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&lt;FZSDCS34-OTS026&gt; ESFAS功能分配说明</w:t>
            </w:r>
          </w:p>
        </w:tc>
        <w:tc>
          <w:tcPr>
            <w:tcW w:w="3138" w:type="dxa"/>
            <w:vAlign w:val="center"/>
          </w:tcPr>
          <w:p w14:paraId="200B106E">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&lt;FZSDCS34-SyRS003&gt;</w:t>
            </w:r>
          </w:p>
          <w:p w14:paraId="0BC93BF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&lt;FZSDCS34-SyRS004&gt;</w:t>
            </w:r>
          </w:p>
        </w:tc>
      </w:tr>
      <w:tr w14:paraId="156A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0567AB26">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18</w:t>
            </w:r>
          </w:p>
        </w:tc>
        <w:tc>
          <w:tcPr>
            <w:tcW w:w="1746" w:type="dxa"/>
            <w:vAlign w:val="center"/>
          </w:tcPr>
          <w:p w14:paraId="3D1EE7C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ind w:leftChars="0"/>
              <w:textAlignment w:val="auto"/>
              <w:rPr>
                <w:rFonts w:hint="default"/>
                <w:vertAlign w:val="baseline"/>
                <w:lang w:val="en-US" w:eastAsia="zh-CN"/>
              </w:rPr>
            </w:pPr>
            <w:r>
              <w:rPr>
                <w:rFonts w:hint="eastAsia"/>
                <w:lang w:val="en-US" w:eastAsia="zh-CN"/>
              </w:rPr>
              <w:t>3、1与主控室的接口</w:t>
            </w:r>
          </w:p>
        </w:tc>
        <w:tc>
          <w:tcPr>
            <w:tcW w:w="3007" w:type="dxa"/>
            <w:vAlign w:val="center"/>
          </w:tcPr>
          <w:p w14:paraId="4E4B965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&lt;FZSDCS34-OTS051&gt; 与主控室ECP的接口</w:t>
            </w:r>
          </w:p>
        </w:tc>
        <w:tc>
          <w:tcPr>
            <w:tcW w:w="3138" w:type="dxa"/>
            <w:vAlign w:val="center"/>
          </w:tcPr>
          <w:p w14:paraId="354831E9">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&lt;FZSDCS34-SyRS010&gt;</w:t>
            </w:r>
          </w:p>
        </w:tc>
      </w:tr>
      <w:tr w14:paraId="430B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7953D321">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19</w:t>
            </w:r>
          </w:p>
        </w:tc>
        <w:tc>
          <w:tcPr>
            <w:tcW w:w="1746" w:type="dxa"/>
            <w:vAlign w:val="center"/>
          </w:tcPr>
          <w:p w14:paraId="2603735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ind w:leftChars="0"/>
              <w:textAlignment w:val="auto"/>
              <w:rPr>
                <w:rFonts w:hint="default"/>
                <w:vertAlign w:val="baseline"/>
                <w:lang w:val="en-US" w:eastAsia="zh-CN"/>
              </w:rPr>
            </w:pPr>
            <w:r>
              <w:rPr>
                <w:rFonts w:hint="eastAsia"/>
                <w:lang w:val="en-US" w:eastAsia="zh-CN"/>
              </w:rPr>
              <w:t>3、2硬接线接口</w:t>
            </w:r>
          </w:p>
        </w:tc>
        <w:tc>
          <w:tcPr>
            <w:tcW w:w="3007" w:type="dxa"/>
            <w:vAlign w:val="center"/>
          </w:tcPr>
          <w:p w14:paraId="01AE90D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&lt;FZSDCS34-OTS053&gt; 安全级DCS内部的硬接线接口</w:t>
            </w:r>
          </w:p>
        </w:tc>
        <w:tc>
          <w:tcPr>
            <w:tcW w:w="3138" w:type="dxa"/>
            <w:vAlign w:val="center"/>
          </w:tcPr>
          <w:p w14:paraId="7ED19A2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&lt;FZSDCS34-SyRS010&gt;</w:t>
            </w:r>
          </w:p>
          <w:p w14:paraId="2953D31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&lt;FZSDCS34-SyRS011&gt;</w:t>
            </w:r>
          </w:p>
        </w:tc>
      </w:tr>
      <w:tr w14:paraId="54F5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41B4ACDA">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20</w:t>
            </w:r>
          </w:p>
        </w:tc>
        <w:tc>
          <w:tcPr>
            <w:tcW w:w="1746" w:type="dxa"/>
            <w:vAlign w:val="center"/>
          </w:tcPr>
          <w:p w14:paraId="7E83643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ind w:leftChars="0"/>
              <w:textAlignment w:val="auto"/>
              <w:rPr>
                <w:rFonts w:hint="default"/>
                <w:vertAlign w:val="baseline"/>
                <w:lang w:val="en-US" w:eastAsia="zh-CN"/>
              </w:rPr>
            </w:pPr>
            <w:r>
              <w:rPr>
                <w:rFonts w:hint="eastAsia"/>
                <w:lang w:val="en-US" w:eastAsia="zh-CN"/>
              </w:rPr>
              <w:t>3、3网络接口</w:t>
            </w:r>
          </w:p>
        </w:tc>
        <w:tc>
          <w:tcPr>
            <w:tcW w:w="3007" w:type="dxa"/>
            <w:vAlign w:val="center"/>
          </w:tcPr>
          <w:p w14:paraId="12DE011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&lt;FZSDCS34-OTS054&gt; 安全级DCS内部的网络接口</w:t>
            </w:r>
          </w:p>
        </w:tc>
        <w:tc>
          <w:tcPr>
            <w:tcW w:w="3138" w:type="dxa"/>
            <w:vAlign w:val="center"/>
          </w:tcPr>
          <w:p w14:paraId="7B170497">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&lt;FZSDCS34-SyRS006&gt;</w:t>
            </w:r>
          </w:p>
          <w:p w14:paraId="311FB415">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&lt;FZSDCS34-SyRS008&gt;</w:t>
            </w:r>
          </w:p>
          <w:p w14:paraId="4CE236D8">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&lt;FZSDCS34-SyRS011&gt;</w:t>
            </w:r>
          </w:p>
        </w:tc>
      </w:tr>
      <w:tr w14:paraId="4414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vAlign w:val="center"/>
          </w:tcPr>
          <w:p w14:paraId="09782CC9">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default"/>
                <w:vertAlign w:val="baseline"/>
                <w:lang w:val="en-US" w:eastAsia="zh-CN"/>
              </w:rPr>
            </w:pPr>
            <w:r>
              <w:rPr>
                <w:rFonts w:hint="eastAsia"/>
                <w:vertAlign w:val="baseline"/>
                <w:lang w:val="en-US" w:eastAsia="zh-CN"/>
              </w:rPr>
              <w:t>21</w:t>
            </w:r>
          </w:p>
        </w:tc>
        <w:tc>
          <w:tcPr>
            <w:tcW w:w="1746" w:type="dxa"/>
            <w:vAlign w:val="center"/>
          </w:tcPr>
          <w:p w14:paraId="5D5D6B8F">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both"/>
              <w:textAlignment w:val="auto"/>
              <w:rPr>
                <w:rFonts w:hint="default"/>
                <w:vertAlign w:val="baseline"/>
                <w:lang w:val="en-US" w:eastAsia="zh-CN"/>
              </w:rPr>
            </w:pPr>
            <w:r>
              <w:rPr>
                <w:rFonts w:hint="eastAsia"/>
                <w:lang w:val="en-US" w:eastAsia="zh-CN"/>
              </w:rPr>
              <w:t>4.1冗余和单一故障准则</w:t>
            </w:r>
          </w:p>
        </w:tc>
        <w:tc>
          <w:tcPr>
            <w:tcW w:w="3007" w:type="dxa"/>
            <w:vAlign w:val="center"/>
          </w:tcPr>
          <w:p w14:paraId="77C3D9DB">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&lt;FZSDCS34-OTS056&gt; 冗余和单一故障准则</w:t>
            </w:r>
          </w:p>
        </w:tc>
        <w:tc>
          <w:tcPr>
            <w:tcW w:w="3138" w:type="dxa"/>
            <w:vAlign w:val="center"/>
          </w:tcPr>
          <w:p w14:paraId="0A4DA35C">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&lt;FZSDCS34-SyRS006&gt;</w:t>
            </w:r>
          </w:p>
        </w:tc>
      </w:tr>
    </w:tbl>
    <w:p w14:paraId="63D9D852">
      <w:pPr>
        <w:keepNext w:val="0"/>
        <w:keepLines w:val="0"/>
        <w:pageBreakBefore w:val="0"/>
        <w:widowControl w:val="0"/>
        <w:numPr>
          <w:ilvl w:val="0"/>
          <w:numId w:val="0"/>
        </w:numPr>
        <w:tabs>
          <w:tab w:val="left" w:pos="2577"/>
        </w:tabs>
        <w:kinsoku/>
        <w:wordWrap/>
        <w:overflowPunct/>
        <w:topLinePunct w:val="0"/>
        <w:autoSpaceDE/>
        <w:autoSpaceDN/>
        <w:bidi w:val="0"/>
        <w:adjustRightInd/>
        <w:snapToGrid/>
        <w:spacing w:line="360" w:lineRule="auto"/>
        <w:ind w:leftChars="0"/>
        <w:jc w:val="both"/>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DF0ED"/>
    <w:multiLevelType w:val="multilevel"/>
    <w:tmpl w:val="9E1DF0E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ACD81BA0"/>
    <w:multiLevelType w:val="singleLevel"/>
    <w:tmpl w:val="ACD81BA0"/>
    <w:lvl w:ilvl="0" w:tentative="0">
      <w:start w:val="1"/>
      <w:numFmt w:val="decimal"/>
      <w:suff w:val="nothing"/>
      <w:lvlText w:val="%1）"/>
      <w:lvlJc w:val="left"/>
    </w:lvl>
  </w:abstractNum>
  <w:abstractNum w:abstractNumId="2">
    <w:nsid w:val="B0ABF6B8"/>
    <w:multiLevelType w:val="singleLevel"/>
    <w:tmpl w:val="B0ABF6B8"/>
    <w:lvl w:ilvl="0" w:tentative="0">
      <w:start w:val="1"/>
      <w:numFmt w:val="decimal"/>
      <w:suff w:val="nothing"/>
      <w:lvlText w:val="%1）"/>
      <w:lvlJc w:val="left"/>
    </w:lvl>
  </w:abstractNum>
  <w:abstractNum w:abstractNumId="3">
    <w:nsid w:val="D84026CF"/>
    <w:multiLevelType w:val="singleLevel"/>
    <w:tmpl w:val="D84026CF"/>
    <w:lvl w:ilvl="0" w:tentative="0">
      <w:start w:val="1"/>
      <w:numFmt w:val="bullet"/>
      <w:lvlText w:val=""/>
      <w:lvlJc w:val="left"/>
      <w:pPr>
        <w:ind w:left="420" w:hanging="420"/>
      </w:pPr>
      <w:rPr>
        <w:rFonts w:hint="default" w:ascii="Wingdings" w:hAnsi="Wingdings"/>
      </w:rPr>
    </w:lvl>
  </w:abstractNum>
  <w:abstractNum w:abstractNumId="4">
    <w:nsid w:val="E6DFF340"/>
    <w:multiLevelType w:val="singleLevel"/>
    <w:tmpl w:val="E6DFF340"/>
    <w:lvl w:ilvl="0" w:tentative="0">
      <w:start w:val="1"/>
      <w:numFmt w:val="decimal"/>
      <w:suff w:val="nothing"/>
      <w:lvlText w:val="%1）"/>
      <w:lvlJc w:val="left"/>
    </w:lvl>
  </w:abstractNum>
  <w:abstractNum w:abstractNumId="5">
    <w:nsid w:val="F03DDDAF"/>
    <w:multiLevelType w:val="singleLevel"/>
    <w:tmpl w:val="F03DDDAF"/>
    <w:lvl w:ilvl="0" w:tentative="0">
      <w:start w:val="1"/>
      <w:numFmt w:val="decimal"/>
      <w:suff w:val="nothing"/>
      <w:lvlText w:val="%1）"/>
      <w:lvlJc w:val="left"/>
    </w:lvl>
  </w:abstractNum>
  <w:abstractNum w:abstractNumId="6">
    <w:nsid w:val="1F44E095"/>
    <w:multiLevelType w:val="singleLevel"/>
    <w:tmpl w:val="1F44E095"/>
    <w:lvl w:ilvl="0" w:tentative="0">
      <w:start w:val="1"/>
      <w:numFmt w:val="decimal"/>
      <w:suff w:val="nothing"/>
      <w:lvlText w:val="%1）"/>
      <w:lvlJc w:val="left"/>
    </w:lvl>
  </w:abstractNum>
  <w:abstractNum w:abstractNumId="7">
    <w:nsid w:val="4656CB0C"/>
    <w:multiLevelType w:val="singleLevel"/>
    <w:tmpl w:val="4656CB0C"/>
    <w:lvl w:ilvl="0" w:tentative="0">
      <w:start w:val="1"/>
      <w:numFmt w:val="bullet"/>
      <w:lvlText w:val=""/>
      <w:lvlJc w:val="left"/>
      <w:pPr>
        <w:ind w:left="420" w:hanging="420"/>
      </w:pPr>
      <w:rPr>
        <w:rFonts w:hint="default" w:ascii="Wingdings" w:hAnsi="Wingdings"/>
      </w:rPr>
    </w:lvl>
  </w:abstractNum>
  <w:num w:numId="1">
    <w:abstractNumId w:val="0"/>
  </w:num>
  <w:num w:numId="2">
    <w:abstractNumId w:val="7"/>
  </w:num>
  <w:num w:numId="3">
    <w:abstractNumId w:val="3"/>
  </w:num>
  <w:num w:numId="4">
    <w:abstractNumId w:val="6"/>
  </w:num>
  <w:num w:numId="5">
    <w:abstractNumId w:val="4"/>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86320"/>
    <w:rsid w:val="071A4FFB"/>
    <w:rsid w:val="086C4C56"/>
    <w:rsid w:val="08782E92"/>
    <w:rsid w:val="0ADC04CA"/>
    <w:rsid w:val="0D185BC6"/>
    <w:rsid w:val="0D7B57B7"/>
    <w:rsid w:val="1546628C"/>
    <w:rsid w:val="20B55955"/>
    <w:rsid w:val="22534911"/>
    <w:rsid w:val="24AF206A"/>
    <w:rsid w:val="2645050F"/>
    <w:rsid w:val="285E7EC4"/>
    <w:rsid w:val="2F527179"/>
    <w:rsid w:val="379D6255"/>
    <w:rsid w:val="382550E4"/>
    <w:rsid w:val="3FF612BD"/>
    <w:rsid w:val="411726C7"/>
    <w:rsid w:val="4E0B19E6"/>
    <w:rsid w:val="55007692"/>
    <w:rsid w:val="5AEA348C"/>
    <w:rsid w:val="61C113A9"/>
    <w:rsid w:val="64B51486"/>
    <w:rsid w:val="6B1107E3"/>
    <w:rsid w:val="6B750D31"/>
    <w:rsid w:val="6BAE2EDD"/>
    <w:rsid w:val="6BEC1805"/>
    <w:rsid w:val="6E4D4E49"/>
    <w:rsid w:val="6F451933"/>
    <w:rsid w:val="742D160B"/>
    <w:rsid w:val="75EB7584"/>
    <w:rsid w:val="7E9E7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4374</Words>
  <Characters>6551</Characters>
  <Lines>0</Lines>
  <Paragraphs>0</Paragraphs>
  <TotalTime>44</TotalTime>
  <ScaleCrop>false</ScaleCrop>
  <LinksUpToDate>false</LinksUpToDate>
  <CharactersWithSpaces>6597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2026-07-13T08:19:00Z</dcterms:created>
  <dc:creator>17211</dc:creator>
  <cp:lastModifiedBy>企业用户_865063823</cp:lastModifiedBy>
  <dcterms:modified xsi:type="dcterms:W3CDTF">2026-07-15T08:45:15Z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eyJoZGlkIjoiNzUyYTYyZjEzMWQ1Mjc1M2E4ZTBmM2I4YjUwNTMwZGEiLCJ1c2VySWQiOiIxNTg1MTc4MTgxIn0=</vt:lpwstr>
  </property>
  <property fmtid="{D5CDD505-2E9C-101B-9397-08002B2CF9AE}" pid="4" name="ICV">
    <vt:lpwstr>6E26711C6BDC4608BE932B19EE95D6DD_12</vt:lpwstr>
  </property>
</Properties>
</file>