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 descr="PowerChain brand mark" title="PowerChain brand ma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g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</w:pPr>
      <w:r>
        <w:rPr>
          <w:rFonts w:ascii="Liberation Sans" w:hAnsi="Liberation Sans"/>
          <w:b/>
          <w:color w:val="143C2E"/>
          <w:sz w:val="44"/>
        </w:rPr>
        <w:t>Power</w:t>
      </w:r>
      <w:r>
        <w:rPr>
          <w:rFonts w:ascii="Liberation Sans" w:hAnsi="Liberation Sans"/>
          <w:b w:val="0"/>
          <w:color w:val="143C2E"/>
          <w:sz w:val="44"/>
        </w:rPr>
        <w:t>Chain</w:t>
      </w:r>
      <w:r>
        <w:rPr>
          <w:rFonts w:ascii="Liberation Sans" w:hAnsi="Liberation Sans"/>
          <w:b/>
          <w:color w:val="143C2E"/>
          <w:sz w:val="18"/>
        </w:rPr>
        <w:t xml:space="preserve">  |  CRISIS</w:t>
      </w:r>
    </w:p>
    <w:p>
      <w:pPr>
        <w:spacing w:before="800"/>
      </w:pPr>
      <w:r>
        <w:rPr>
          <w:rFonts w:ascii="Liberation Sans" w:hAnsi="Liberation Sans"/>
          <w:b/>
          <w:color w:val="111513"/>
          <w:sz w:val="64"/>
        </w:rPr>
        <w:t>Full Engineering &amp; Operations Documentation</w:t>
      </w:r>
    </w:p>
    <w:p>
      <w:r>
        <w:rPr>
          <w:rFonts w:ascii="Liberation Sans" w:hAnsi="Liberation Sans"/>
          <w:color w:val="143C2E"/>
          <w:sz w:val="26"/>
        </w:rPr>
        <w:t>Crisis Capital Network · Solana Runtime · Provider Resolution · Security · Operations</w:t>
      </w:r>
    </w:p>
    <w:p>
      <w:pPr>
        <w:spacing w:before="480"/>
      </w:pPr>
      <w:r>
        <w:rPr>
          <w:rFonts w:ascii="Liberation Sans" w:hAnsi="Liberation Sans"/>
          <w:b/>
          <w:color w:val="66706A"/>
          <w:sz w:val="20"/>
        </w:rPr>
        <w:t>Version 1.0.0</w:t>
        <w:br/>
        <w:t>29 August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</w:tcPr>
          <w:p>
            <w:r>
              <w:rPr>
                <w:rFonts w:ascii="Liberation Sans" w:hAnsi="Liberation Sans"/>
                <w:b/>
                <w:color w:val="143C2E"/>
                <w:sz w:val="16"/>
              </w:rPr>
              <w:t>CORE OPERATING RULE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11513"/>
                <w:sz w:val="19"/>
              </w:rPr>
              <w:t>Mainnet means live. Missing authoritative data is unavailable or degraded - never zeroed, guessed, or silently replaced by demo data.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DOCUMENT GUIDE</w:t>
      </w:r>
    </w:p>
    <w:p>
      <w:pPr>
        <w:pStyle w:val="Heading1"/>
      </w:pPr>
      <w:r>
        <w:t>How to use this handbook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A consolidated reference for engineering, operations, security and integration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7200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Start here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Developer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Quick Start -&gt; API -&gt; SDK -&gt; Testing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SRE / Operations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Architecture -&gt; Providers -&gt; Runbook -&gt; Troubleshooting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Security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Security Model -&gt; Web Proxy -&gt; Production Gate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Solana engineer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Runtime -&gt; Program Verification -&gt; Token Inspection -&gt; Market Data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Product / Partner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Architecture -&gt; PWRC Utility -&gt; Fees -&gt; Cross-chain -&gt; Glossary</w:t>
            </w:r>
          </w:p>
        </w:tc>
      </w:tr>
    </w:tbl>
    <w:p>
      <w:pPr>
        <w:spacing w:after="0"/>
      </w:pPr>
    </w:p>
    <w:p>
      <w:pPr>
        <w:pStyle w:val="Heading2"/>
      </w:pPr>
      <w:r>
        <w:t>Repository documentation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The canonical Markdown index is docs/README.md. This handbook summarizes and connects those documents; the Markdown files remain the easiest source for code-adjacent updates.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01</w:t>
      </w:r>
    </w:p>
    <w:p>
      <w:pPr>
        <w:pStyle w:val="Heading1"/>
      </w:pPr>
      <w:r>
        <w:t>System architecture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One canonical service path from Solana/providers to the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" name="Picture 2" descr="Source-of-truth architecture and authority boundaries." title="Source-of-truth architecture and authority bounda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of-tr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Source-of-truth architecture and authority boundaries.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Solana RPC / Helius + market providers</w:t>
              <w:br/>
              <w:t xml:space="preserve">        ↓</w:t>
              <w:br/>
              <w:t>@powerchain/crisis-solana-api</w:t>
              <w:br/>
              <w:t xml:space="preserve">        ↓</w:t>
              <w:br/>
              <w:t>Fastify API</w:t>
              <w:br/>
              <w:t xml:space="preserve">        ↓</w:t>
              <w:br/>
              <w:t>Next.js server-only proxy</w:t>
              <w:br/>
              <w:t xml:space="preserve">        ↓</w:t>
              <w:br/>
              <w:t>React operations UI / typed API client</w:t>
            </w:r>
          </w:p>
        </w:tc>
      </w:tr>
    </w:tbl>
    <w:p>
      <w:pPr>
        <w:spacing w:after="0"/>
      </w:pPr>
    </w:p>
    <w:p>
      <w:pPr>
        <w:pStyle w:val="Heading2"/>
      </w:pPr>
      <w:r>
        <w:t>Key boundaries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Solana RPC is authoritative for chain state and token supply/decimals.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Market providers contribute display/analytics observations; they cannot overwrite on-chain token truth.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The browser talks to the website origin; private provider credentials stay in the backend.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Compatibility aliases reuse the canonical service functions.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02</w:t>
      </w:r>
    </w:p>
    <w:p>
      <w:pPr>
        <w:pStyle w:val="Heading1"/>
      </w:pPr>
      <w:r>
        <w:t>Quick start and workspace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Target toolchain, configuration and first successful requests.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Workspace</w:t>
            </w:r>
          </w:p>
        </w:tc>
        <w:tc>
          <w:tcPr>
            <w:tcW w:type="dxa" w:w="6912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apps/backend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Fastify runtime and security middleware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backend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Canonical Solana service/routes/types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apps/web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Next.js proxy and operations UI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packages/api-client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Typed browser/server API client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packages/*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Policy, fees, utility, bridge, factory, rewards and chart domains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docs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Engineering/operations documentation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cp apps/backend/.env.example apps/backend/.env</w:t>
              <w:br/>
              <w:t>cp apps/web/.env.example apps/web/.env.local</w:t>
              <w:br/>
              <w:t>corepack enable</w:t>
              <w:br/>
              <w:t>pnpm install</w:t>
              <w:br/>
              <w:t>pnpm dev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A86E00"/>
              <w:left w:val="single" w:sz="4" w:color="A86E00"/>
              <w:bottom w:val="single" w:sz="4" w:color="A86E00"/>
              <w:right w:val="single" w:sz="4" w:color="A86E00"/>
            </w:tcBorders>
          </w:tcPr>
          <w:p>
            <w:r>
              <w:rPr>
                <w:rFonts w:ascii="Liberation Sans" w:hAnsi="Liberation Sans"/>
                <w:b/>
                <w:color w:val="A86E00"/>
                <w:sz w:val="16"/>
              </w:rPr>
              <w:t>TOOLCHAIN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11513"/>
                <w:sz w:val="19"/>
              </w:rPr>
              <w:t>Production releases require Node &gt;=24.20.0, pnpm 11.24.0 and a real committed pnpm-lock.yaml. The source archive does not fabricate a lockfile.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03</w:t>
      </w:r>
    </w:p>
    <w:p>
      <w:pPr>
        <w:pStyle w:val="Heading1"/>
      </w:pPr>
      <w:r>
        <w:t>HTTP API reference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System, canonical Solana and compatibility routes.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960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Method / Path</w:t>
            </w:r>
          </w:p>
        </w:tc>
        <w:tc>
          <w:tcPr>
            <w:tcW w:type="dxa" w:w="5544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/api/v1/health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Liveness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/api/v1/ready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RPC/cluster readiness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/api/v1/config/public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Non-secret runtime configuration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/api/v1/providers/status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Redacted provider telemetry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/api/v1/openapi.json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OpenAPI JSON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/api/v1/solana/overview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Cluster/RPC overview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/api/v1/solana/programs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Program deployment verification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/api/v1/solana/market?mint=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Market resolution for explicit mint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 /api/v1/solana/assets/:mint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SPL/Token-2022 inspection</w:t>
            </w:r>
          </w:p>
        </w:tc>
      </w:tr>
      <w:tr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WS /api/v1/ws/solana</w:t>
            </w:r>
          </w:p>
        </w:tc>
        <w:tc>
          <w:tcPr>
            <w:tcW w:type="dxa" w:w="554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Bounded overview/program snapshots</w:t>
            </w:r>
          </w:p>
        </w:tc>
      </w:tr>
    </w:tbl>
    <w:p>
      <w:pPr>
        <w:spacing w:after="0"/>
      </w:pPr>
    </w:p>
    <w:p>
      <w:pPr>
        <w:pStyle w:val="Heading2"/>
      </w:pPr>
      <w:r>
        <w:t>Compatibility aliases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GET /api/solana/overview</w:t>
              <w:br/>
              <w:t>GET /api/token/market?mint=&lt;address&gt;</w:t>
              <w:br/>
              <w:t>GET /api/assets/:mint</w:t>
            </w:r>
          </w:p>
        </w:tc>
      </w:tr>
    </w:tbl>
    <w:p>
      <w:pPr>
        <w:spacing w:after="0"/>
      </w:pP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Aliases emit deprecation/successor headers and call the same implementation. Only /api/token/market may use backend-configured PWRC_MINT when mint is omitted.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04</w:t>
      </w:r>
    </w:p>
    <w:p>
      <w:pPr>
        <w:pStyle w:val="Heading1"/>
      </w:pPr>
      <w:r>
        <w:t>Solana runtime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Cluster health, genesis binding, blockhash and cache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" name="Picture 3" descr="Solana market-data architecture: RPC truth plus provider observations." title="Solana market-data architecture: RPC truth plus provider observ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ana-market-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Solana market-data architecture: RPC truth plus provider observations.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RPC method</w:t>
            </w:r>
          </w:p>
        </w:tc>
        <w:tc>
          <w:tcPr>
            <w:tcW w:type="dxa" w:w="6480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getHealth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Cluster health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getSlot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Current slot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getBlockHeight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Block height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getEpochInfo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Epoch/slot index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getVersion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Solana core / feature set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getLatestBlockhash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Operational blockhash telemetry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getGenesisHash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Cluster binding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getSupply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SOL supply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getTokenSupply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Mint supply/decimals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getAccountInfo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Mint/program inspection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getMultipleAccounts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Batch program verification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0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</w:tcBorders>
          </w:tcPr>
          <w:p>
            <w:r>
              <w:rPr>
                <w:rFonts w:ascii="Liberation Sans" w:hAnsi="Liberation Sans"/>
                <w:b/>
                <w:color w:val="B3261E"/>
                <w:sz w:val="16"/>
              </w:rPr>
              <w:t>CLUSTER SAFETY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11513"/>
                <w:sz w:val="19"/>
              </w:rPr>
              <w:t>SOLANA_EXPECTED_GENESIS_HASH should be configured in production. A mismatch fails readiness rather than silently accepting the RPC endpoint.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05</w:t>
      </w:r>
    </w:p>
    <w:p>
      <w:pPr>
        <w:pStyle w:val="Heading1"/>
      </w:pPr>
      <w:r>
        <w:t>Launchpad and program verification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Configured IDs are inputs; executable account state is proof.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Program verification batches account inspection and distinguishes configured values from verified deployments.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6912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DEPLOYED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Exists, executable and loader accepted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NOT_FOUND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Configured account absent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UNCONFIGURED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No ID provided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INVALID_CONFIGURATION</w:t>
            </w:r>
          </w:p>
        </w:tc>
        <w:tc>
          <w:tcPr>
            <w:tcW w:type="dxa" w:w="69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Configured value is not a valid Solana key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Production-required Launchpad bindings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SOLANA_LAUNCHPAD_REGISTRY_PROGRAM_ID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SOLANA_LAUNCH_POLICY_PROGRAM_ID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SOLANA_TOKEN_FACTORY_PROGRAM_ID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Additional vesting, escrow and Crisis program IDs can be configured without changing the verification model. Do not document or deploy guessed program IDs.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06</w:t>
      </w:r>
    </w:p>
    <w:p>
      <w:pPr>
        <w:pStyle w:val="Heading1"/>
      </w:pPr>
      <w:r>
        <w:t>SPL and Token-2022 inspection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Supply, decimals, authorities and extensions are read from the mint account.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The asset endpoint calls getTokenSupply plus raw/jsonParsed account inspection. The account owner classifies classic SPL Token vs Token-2022.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Field group</w:t>
            </w:r>
          </w:p>
        </w:tc>
        <w:tc>
          <w:tcPr>
            <w:tcW w:type="dxa" w:w="6624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tokenProgramKind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SPL_TOKEN, TOKEN_2022 or UNKNOWN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supplyAtomic / decimals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RPC-authoritative mint supply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initialized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Mint initialization state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mintAuthority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Current mint authority or null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freezeAuthority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Current freeze authority or null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extensions[]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RPC-parsed Token-2022 extension state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metadata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Optional Helius enrichment only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</w:tcPr>
          <w:p>
            <w:r>
              <w:rPr>
                <w:rFonts w:ascii="Liberation Sans" w:hAnsi="Liberation Sans"/>
                <w:b/>
                <w:color w:val="143C2E"/>
                <w:sz w:val="16"/>
              </w:rPr>
              <w:t>AUTHORITY TRUTH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11513"/>
                <w:sz w:val="19"/>
              </w:rPr>
              <w:t>Helius metadata and market APIs never replace RPC supply, decimals, mint authority or freeze authority.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07</w:t>
      </w:r>
    </w:p>
    <w:p>
      <w:pPr>
        <w:pStyle w:val="Heading1"/>
      </w:pPr>
      <w:r>
        <w:t>Market-data resolution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Source-aware price selection with divergence, freshness and confidence gates.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" name="Picture 4" descr="Data provenance and freshness gate." title="Data provenance and freshness g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proven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Data provenance and freshness gate.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Pyth</w:t>
              <w:br/>
              <w:t xml:space="preserve">  ↓</w:t>
              <w:br/>
              <w:t>Jupiter Price V3</w:t>
              <w:br/>
              <w:t xml:space="preserve">  ↓</w:t>
              <w:br/>
              <w:t>CoinGecko</w:t>
              <w:br/>
              <w:t xml:space="preserve">  ↓</w:t>
              <w:br/>
              <w:t>CoinMarketCap</w:t>
              <w:br/>
              <w:t xml:space="preserve">  ↓</w:t>
              <w:br/>
              <w:t>Birdeye</w:t>
              <w:br/>
              <w:t xml:space="preserve">  ↓</w:t>
              <w:br/>
              <w:t>Helius DAS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736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6768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Provider priority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First valid observation in configured order is primary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Divergence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Large cross-provider spread degrades response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Pyth confidence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Confidence/price ratio over limit degrades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Jupiter block lag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Price block too far behind RPC slot degrades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Decimal mismatch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Jupiter vs RPC decimal mismatch degrades</w:t>
            </w:r>
          </w:p>
        </w:tc>
      </w:tr>
      <w:tr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No valid price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503 MARKET_DATA_UNAVAILABLE</w:t>
            </w:r>
          </w:p>
        </w:tc>
      </w:tr>
    </w:tbl>
    <w:p>
      <w:pPr>
        <w:spacing w:after="0"/>
      </w:pP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The response explicitly marks market information as DISPLAY_AND_ANALYTICS_ONLY.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08</w:t>
      </w:r>
    </w:p>
    <w:p>
      <w:pPr>
        <w:pStyle w:val="Heading1"/>
      </w:pPr>
      <w:r>
        <w:t>Provider observability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Redacted health without leaking credentials.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/api/v1/providers/status exposes capability, configuration state, last latency, failure count, last check and redacted error code for operators.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Telemetry</w:t>
            </w:r>
          </w:p>
        </w:tc>
        <w:tc>
          <w:tcPr>
            <w:tcW w:type="dxa" w:w="6624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configured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Distinguishes optional/unconfigured from failing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state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LIVE/DEGRADED/UNCONFIGURED/UNKNOWN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latencyMs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Detects slow upstreams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consecutiveFailures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Detects sustained provider failure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cache.entries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Shows cache footprint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cache.inFlight</w:t>
            </w:r>
          </w:p>
        </w:tc>
        <w:tc>
          <w:tcPr>
            <w:tcW w:type="dxa" w:w="66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Shows upstream request pressure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</w:tcPr>
          <w:p>
            <w:r>
              <w:rPr>
                <w:rFonts w:ascii="Liberation Sans" w:hAnsi="Liberation Sans"/>
                <w:b/>
                <w:color w:val="143C2E"/>
                <w:sz w:val="16"/>
              </w:rPr>
              <w:t>SECRET BOUNDARY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11513"/>
                <w:sz w:val="19"/>
              </w:rPr>
              <w:t>Provider status never returns RPC URLs, API keys, auth headers or internal tokens.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09</w:t>
      </w:r>
    </w:p>
    <w:p>
      <w:pPr>
        <w:pStyle w:val="Heading1"/>
      </w:pPr>
      <w:r>
        <w:t>Next.js proxy and browser security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Same-origin browser APIs without shipping provider secrets.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Browser -&gt; website /api/* -&gt; server-only proxy -&gt; Fastify -&gt; providers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POWERCHAIN_API_URL is server-only.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POWERCHAIN_INTERNAL_API_TOKEN is attached by the Next.js server.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Proxy requests use no-store and a 10-second timeout.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Proxy loops are rejected.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Sensitive NEXT_PUBLIC_* configuration is rejected by the production gate.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10</w:t>
      </w:r>
    </w:p>
    <w:p>
      <w:pPr>
        <w:pStyle w:val="Heading1"/>
      </w:pPr>
      <w:r>
        <w:t>Realtime WebSocket protocol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Bounded operational snapshots, not raw RPC streaming.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WS /api/v1/ws/solana supports overview and programs topics. The server sends a hello frame, immediate snapshot and 30-second interval snapshots.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Limit</w:t>
            </w:r>
          </w:p>
        </w:tc>
        <w:tc>
          <w:tcPr>
            <w:tcW w:type="dxa" w:w="6048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Max WebSocket payload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8 KiB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Application messages per connection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30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Incoming message size check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4096 bytes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Allowed topics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overview, programs</w:t>
            </w:r>
          </w:p>
        </w:tc>
      </w:tr>
      <w:tr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Policy-close code</w:t>
            </w:r>
          </w:p>
        </w:tc>
        <w:tc>
          <w:tcPr>
            <w:tcW w:type="dxa" w:w="60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1008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A86E00"/>
              <w:left w:val="single" w:sz="4" w:color="A86E00"/>
              <w:bottom w:val="single" w:sz="4" w:color="A86E00"/>
              <w:right w:val="single" w:sz="4" w:color="A86E00"/>
            </w:tcBorders>
          </w:tcPr>
          <w:p>
            <w:r>
              <w:rPr>
                <w:rFonts w:ascii="Liberation Sans" w:hAnsi="Liberation Sans"/>
                <w:b/>
                <w:color w:val="A86E00"/>
                <w:sz w:val="16"/>
              </w:rPr>
              <w:t>AUTHORITY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11513"/>
                <w:sz w:val="19"/>
              </w:rPr>
              <w:t>Realtime snapshots are observability data. They are not settlement confirmation or treasury evidence.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11</w:t>
      </w:r>
    </w:p>
    <w:p>
      <w:pPr>
        <w:pStyle w:val="Heading1"/>
      </w:pPr>
      <w:r>
        <w:t>Security model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Fail closed at every authority boundary.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 descr="Source-of-truth and trust-boundary view." title="Source-of-truth and trust-boundary 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of-tr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Source-of-truth and trust-boundary 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PWRC -&gt; utility</w:t>
              <w:br/>
              <w:t>Identity -&gt; actor</w:t>
              <w:br/>
              <w:t>Role -&gt; scope</w:t>
              <w:br/>
              <w:t>Policy -&gt; allowed action</w:t>
              <w:br/>
              <w:t>Approval -&gt; authorization</w:t>
              <w:br/>
              <w:t>Signer -&gt; execution</w:t>
              <w:br/>
              <w:t>Solana -&gt; settlement evidence</w:t>
              <w:br/>
              <w:t>Evidence -&gt; real-world proof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Constant-time internal-origin token comparison.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Explicit CORS in production.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Helmet + 1 MiB body limit + rate limiting.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Request IDs and redacted logs.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No-store API responses.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No AI/token/provider response can grant treasury authority.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12</w:t>
      </w:r>
    </w:p>
    <w:p>
      <w:pPr>
        <w:pStyle w:val="Heading1"/>
      </w:pPr>
      <w:r>
        <w:t>Production deployment gate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Configuration must prove the target environment is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Required gate</w:t>
            </w:r>
          </w:p>
        </w:tc>
        <w:tc>
          <w:tcPr>
            <w:tcW w:type="dxa" w:w="6192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Node &gt;=24.20.0 / pnpm 11.24.0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Pinned toolchain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pnpm-lock.yaml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Reproducible install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mainnet-beta + dev fallback off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No public-development path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Private RPC/Helius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Production capacity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Expected genesis hash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Cluster binding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Internal token &gt;=32 chars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Origin authentication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Explicit CORS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Browser origin control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Required Launchpad IDs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Deployment binding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Credentialed market provider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No keyless production market dependency</w:t>
            </w:r>
          </w:p>
        </w:tc>
      </w:tr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No sensitive NEXT_PUBLIC_*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Browser secret prevention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13</w:t>
      </w:r>
    </w:p>
    <w:p>
      <w:pPr>
        <w:pStyle w:val="Heading1"/>
      </w:pPr>
      <w:r>
        <w:t>Operations runbook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What operators check every day and during incidents.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Daily: readiness -&gt; provider status -&gt; Solana overview -&gt; required programs -&gt; market degradation -&gt; application/provider error rates.</w:t>
      </w:r>
    </w:p>
    <w:p>
      <w:pPr>
        <w:pStyle w:val="Heading2"/>
      </w:pPr>
      <w:r>
        <w:t>High-priority incidents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Incident</w:t>
            </w:r>
          </w:p>
        </w:tc>
        <w:tc>
          <w:tcPr>
            <w:tcW w:type="dxa" w:w="6480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Immediate action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RPC unavailable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Stop financial execution; validate private RPC/Helius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Genesis mismatch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Stop execution; verify cluster/config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Market divergence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Inspect observations/freshness/confidence/block lag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Required program missing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Disable affected capability; verify deployment evidence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Provider key exposure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Rotate secret, rebuild, audit browser artifacts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Unknown transaction outcome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Use EXECUTION_UNKNOWN; reconcile before retry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14</w:t>
      </w:r>
    </w:p>
    <w:p>
      <w:pPr>
        <w:pStyle w:val="Heading1"/>
      </w:pPr>
      <w:r>
        <w:t>Testing and release validation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Source checks, runtime smoke tests and target-environment gates.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pnpm check:source</w:t>
              <w:br/>
              <w:t>pnpm typecheck</w:t>
              <w:br/>
              <w:t>pnpm test</w:t>
              <w:br/>
              <w:t>pnpm build</w:t>
              <w:br/>
              <w:t>NODE_ENV=production POWERCHAIN_ENV=production pnpm check:production</w:t>
            </w:r>
          </w:p>
        </w:tc>
      </w:tr>
    </w:tbl>
    <w:p>
      <w:pPr>
        <w:spacing w:after="0"/>
      </w:pP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The deterministic runtime smoke test stubs RPC/Jupiter responses and verifies overview, market, Token-2022 inspection and provider telemetry. It does not replace live devnet/mainnet integration tests.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15</w:t>
      </w:r>
    </w:p>
    <w:p>
      <w:pPr>
        <w:pStyle w:val="Heading1"/>
      </w:pPr>
      <w:r>
        <w:t>PWRC utility and authority separation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Power Units and utility tiers are service entitlements, not RBAC.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 descr="PWRC utility architecture." title="PWRC utility archite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rc-ut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PWRC utility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056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ACCESS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Entitlements and tiers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COMPUTE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AI workloads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SERVICES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Reports/data services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PARTICIPATION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Programs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GOVERNANCE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Economic governance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INCENTIVES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Reviewed rewards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REPUTATION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Eligibility input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NETWORK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API/service consumption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0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B3261E"/>
              <w:left w:val="single" w:sz="4" w:color="B3261E"/>
              <w:bottom w:val="single" w:sz="4" w:color="B3261E"/>
              <w:right w:val="single" w:sz="4" w:color="B3261E"/>
            </w:tcBorders>
          </w:tcPr>
          <w:p>
            <w:r>
              <w:rPr>
                <w:rFonts w:ascii="Liberation Sans" w:hAnsi="Liberation Sans"/>
                <w:b/>
                <w:color w:val="B3261E"/>
                <w:sz w:val="16"/>
              </w:rPr>
              <w:t>FINANCIAL BOUNDARY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11513"/>
                <w:sz w:val="19"/>
              </w:rPr>
              <w:t>PWRC balance alone never grants FUND, ALLOCATE, ESCROW, RELEASE, COMMISSION, BRIDGE, MINT or REWARD authority.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16</w:t>
      </w:r>
    </w:p>
    <w:p>
      <w:pPr>
        <w:pStyle w:val="Heading1"/>
      </w:pPr>
      <w:r>
        <w:t>Fees and successful-funding economics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Contributor charges and post-success commission are separate.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 descr="Fee-stack semantics." title="Fee-stack semant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-st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Fee-stack semantics.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Contributor checkout may include principal, service fee, token transfer fee, estimated network fee and provider/onramp fee. The successful-funding commission is not charged at contributor authorization.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Successful pool proceeds</w:t>
              <w:br/>
              <w:t xml:space="preserve">  -&gt; 5% total</w:t>
              <w:br/>
              <w:t xml:space="preserve">     -&gt; 2 percentage points Community Treasury</w:t>
              <w:br/>
              <w:t xml:space="preserve">     -&gt; 3 percentage points Ecosystem &amp; Development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17</w:t>
      </w:r>
    </w:p>
    <w:p>
      <w:pPr>
        <w:pStyle w:val="Heading1"/>
      </w:pPr>
      <w:r>
        <w:t>Cross-chain security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CCTP, CCIP and wrapped-PWRC routes use different trust assumptions.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 descr="Cross-chain route security model." title="Cross-chain route security mod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-ch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Cross-chain route security model.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Route status must be LIVE.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Audit flag is required.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Route ID/version and replay domain must match.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Transfer IDs are replay-protected.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Per-transfer and outstanding caps are enforced.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Wrapped supply cannot exceed verified backing.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18</w:t>
      </w:r>
    </w:p>
    <w:p>
      <w:pPr>
        <w:pStyle w:val="Heading1"/>
      </w:pPr>
      <w:r>
        <w:t>Token factory and community rewards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Production review is not the same as automatic issuance.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 descr="Token factory issuer-profile architecture." title="Token factory issuer-profile architect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-fac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Token factory issuer-profile architecture.</w:t>
      </w:r>
    </w:p>
    <w:p>
      <w:pPr>
        <w:pStyle w:val="Heading2"/>
      </w:pPr>
      <w:r>
        <w:t>Token factory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Project, Company and Government profiles share policy validation for ticker, metadata, decimals, supply cap, reserve-backed rules, restricted-transfer review and confidential-transfer review.</w:t>
      </w:r>
    </w:p>
    <w:p>
      <w:pPr>
        <w:pStyle w:val="Heading2"/>
      </w:pPr>
      <w:r>
        <w:t>Rewards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 descr="Evidence-bound community reward flow." title="Evidence-bound community reward fl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-rewar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Evidence-bound community reward flow.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Reward epochs enforce evidence, duplicate/replay prevention, subject/org caps and total epoch budget. Recommendations never auto-mint; authority remains REWARD_POLICY_REVIEW.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19</w:t>
      </w:r>
    </w:p>
    <w:p>
      <w:pPr>
        <w:pStyle w:val="Heading1"/>
      </w:pPr>
      <w:r>
        <w:t>Charts and data provenance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Every live visual should answer where, when and how trustworthy.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 descr="Capital lifecycle visualization." title="Capital lifecycle visualiz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ital-lifecyc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/>
          <w:i/>
          <w:color w:val="66706A"/>
          <w:sz w:val="16"/>
        </w:rPr>
        <w:t>Capital lifecycle visualization.</w:t>
      </w: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Charts use LIVE, DEMO, STATIC, DEGRADED, TBA and UNAVAILABLE modes. LIVE without a source becomes unavailable; stale live data becomes degraded. Missing provider data is not rendered as zero.</w:t>
      </w:r>
    </w:p>
    <w:p>
      <w:pPr>
        <w:pStyle w:val="Heading2"/>
      </w:pPr>
      <w:r>
        <w:t>Architecture visual rules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Orthogonal connectors and explicit arrowheads.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Semantic connector labels.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Dashed paths for optional/degraded/TBA edges.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Status/source annotations.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Dark forest-green cards use white text for contrast.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20</w:t>
      </w:r>
    </w:p>
    <w:p>
      <w:pPr>
        <w:pStyle w:val="Heading1"/>
      </w:pPr>
      <w:r>
        <w:t>SDK, Postman and integration workflow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How clients should integrate without bypassing the platform boundary.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51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Mono" w:hAnsi="Liberation Mono"/>
                <w:color w:val="F4F7F5"/>
                <w:sz w:val="16"/>
              </w:rPr>
              <w:t>const api = new PowerChainApiClient("");</w:t>
              <w:br/>
              <w:t>await api.ready();</w:t>
              <w:br/>
              <w:t>await api.solanaOverview();</w:t>
              <w:br/>
              <w:t>await api.solanaPrograms();</w:t>
              <w:br/>
              <w:t>await api.solanaMarket(mint);</w:t>
              <w:br/>
              <w:t>await api.solanaAsset(mint);</w:t>
            </w:r>
          </w:p>
        </w:tc>
      </w:tr>
    </w:tbl>
    <w:p>
      <w:pPr>
        <w:spacing w:after="0"/>
      </w:pPr>
    </w:p>
    <w:p>
      <w:pPr>
        <w:spacing w:after="140" w:line="276" w:lineRule="auto"/>
      </w:pPr>
      <w:r>
        <w:rPr>
          <w:rFonts w:ascii="Liberation Sans" w:hAnsi="Liberation Sans"/>
          <w:color w:val="111513"/>
          <w:sz w:val="19"/>
        </w:rPr>
        <w:t>New code should use canonical client methods. Compatibility methods exist only for migration. The Postman collection supports both backend-origin and website-origin verification.</w:t>
      </w: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21</w:t>
      </w:r>
    </w:p>
    <w:p>
      <w:pPr>
        <w:pStyle w:val="Heading1"/>
      </w:pPr>
      <w:r>
        <w:t>Troubleshooting guide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Diagnose configuration, provider, proxy and token-inspection failures.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16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5688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First check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POWERCHAIN_API_URL_REQUIRED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apps/web/.env.local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POWERCHAIN_API_PROXY_LOOP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Backend URL must not equal website origin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BACKEND_ORIGIN_AUTH_REQUIRED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Internal token alignment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MARKET_DATA_UNAVAILABLE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Provider credentials/priority/token support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PWRC_MINT_NOT_CONFIGURED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Legacy default only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UNSUPPORTED_TOKEN_PROGRAM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Address/cluster correctness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INVALID_CONFIGURATION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Program ID format</w:t>
            </w:r>
          </w:p>
        </w:tc>
      </w:tr>
      <w:tr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Lockfile missing</w:t>
            </w:r>
          </w:p>
        </w:tc>
        <w:tc>
          <w:tcPr>
            <w:tcW w:type="dxa" w:w="568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Generate with pinned pnpm in target environment</w:t>
            </w:r>
          </w:p>
        </w:tc>
      </w:tr>
    </w:tbl>
    <w:p>
      <w:pPr>
        <w:spacing w:after="0"/>
      </w:pPr>
    </w:p>
    <w:p>
      <w:pPr>
        <w:spacing w:before="280" w:after="60"/>
      </w:pPr>
      <w:r>
        <w:rPr>
          <w:rFonts w:ascii="Liberation Sans" w:hAnsi="Liberation Sans"/>
          <w:b/>
          <w:color w:val="143C2E"/>
          <w:sz w:val="16"/>
        </w:rPr>
        <w:t>22</w:t>
      </w:r>
    </w:p>
    <w:p>
      <w:pPr>
        <w:pStyle w:val="Heading1"/>
      </w:pPr>
      <w:r>
        <w:t>Glossary and final release checklist</w:t>
      </w:r>
    </w:p>
    <w:p>
      <w:pPr>
        <w:spacing w:after="140" w:line="276" w:lineRule="auto"/>
      </w:pPr>
      <w:r>
        <w:rPr>
          <w:rFonts w:ascii="Liberation Sans" w:hAnsi="Liberation Sans"/>
          <w:color w:val="66706A"/>
          <w:sz w:val="22"/>
        </w:rPr>
        <w:t>Common terminology and the minimum path to a production claim.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6480"/>
            <w:shd w:fill="143C2E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Canonical route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Supported /api/v1 contract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Compatibility alias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Deprecated route calling canonical service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Genesis binding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Expected vs active cluster genesis hash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Market observation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Provider price/liquidity/volume sample with provenance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Power Units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PWRC service-metering abstraction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EXECUTION_UNKNOWN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AFBFA"/>
          </w:tcPr>
          <w:p>
            <w:r>
              <w:rPr>
                <w:rFonts w:ascii="Liberation Sans" w:hAnsi="Liberation Sans"/>
                <w:color w:val="111513"/>
                <w:sz w:val="16"/>
              </w:rPr>
              <w:t>Transaction outcome not yet established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Deployment verification</w:t>
            </w:r>
          </w:p>
        </w:tc>
        <w:tc>
          <w:tcPr>
            <w:tcW w:type="dxa" w:w="648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E3E6E2"/>
              <w:left w:val="single" w:sz="4" w:color="E3E6E2"/>
              <w:bottom w:val="single" w:sz="4" w:color="E3E6E2"/>
              <w:right w:val="single" w:sz="4" w:color="E3E6E2"/>
            </w:tcBorders>
            <w:shd w:fill="FFFFFF"/>
          </w:tcPr>
          <w:p>
            <w:r>
              <w:rPr>
                <w:rFonts w:ascii="Liberation Sans" w:hAnsi="Liberation Sans"/>
                <w:color w:val="111513"/>
                <w:sz w:val="16"/>
              </w:rPr>
              <w:t>Executable program account + accepted loader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claim checklist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Frozen dependency install passes.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Typecheck/test/build pass.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Production gate passes.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Readiness returns intended cluster.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Required programs verify.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Provider credentials and telemetry are healthy.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Browser bundles contain no provider secrets.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Runbooks and rollback are approved.</w:t>
      </w:r>
    </w:p>
    <w:p>
      <w:pPr>
        <w:pStyle w:val="ListBullet"/>
        <w:spacing w:after="60"/>
      </w:pPr>
      <w:r>
        <w:rPr>
          <w:rFonts w:ascii="Liberation Sans" w:hAnsi="Liberation Sans"/>
          <w:color w:val="111513"/>
          <w:sz w:val="19"/>
        </w:rPr>
        <w:t>Deployment evidence records commit/image/config/program IDs.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3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143C2E"/>
              <w:left w:val="single" w:sz="4" w:color="143C2E"/>
              <w:bottom w:val="single" w:sz="4" w:color="143C2E"/>
              <w:right w:val="single" w:sz="4" w:color="143C2E"/>
            </w:tcBorders>
          </w:tcPr>
          <w:p>
            <w:r>
              <w:rPr>
                <w:rFonts w:ascii="Liberation Sans" w:hAnsi="Liberation Sans"/>
                <w:b/>
                <w:color w:val="143C2E"/>
                <w:sz w:val="16"/>
              </w:rPr>
              <w:t>FINAL RULE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111513"/>
                <w:sz w:val="19"/>
              </w:rPr>
              <w:t>Source support is not the same as deployed capability. Production status must be backed by the target environment, not by documentation alone.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6706A"/>
        <w:sz w:val="15"/>
      </w:rPr>
      <w:t xml:space="preserve">PowerChain Crisis v1.0.0     </w:t>
    </w:r>
    <w:r>
      <w:rPr>
        <w:rFonts w:ascii="Liberation Sans" w:hAnsi="Liberation Sans"/>
        <w:color w:val="66706A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b/>
        <w:color w:val="143C2E"/>
        <w:sz w:val="15"/>
      </w:rPr>
      <w:t>POWERCHAIN  |  CRISIS CAPITAL NETWORK  |  FULL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115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11513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3C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1151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1151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PowerChain Crisis - Full Engineering &amp; Operations Documentation v1.0.0</dc:title>
  <dc:subject>Crisis Capital Network full-stack engineering, Solana, providers, security and operations</dc:subject>
  <dc:creator>PowerChain Protocol</dc:creator>
  <cp:keywords>PowerChain, Crisis Capital Network, Solana, Token-2022, PWRC, API, security,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