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ACF5F3" w14:textId="77777777" w:rsidR="00BC294B" w:rsidRDefault="00A21D41">
      <w:pPr>
        <w:pStyle w:val="Heading1"/>
        <w:contextualSpacing w:val="0"/>
      </w:pPr>
      <w:bookmarkStart w:id="0" w:name="h.weymxio6ek41" w:colFirst="0" w:colLast="0"/>
      <w:bookmarkEnd w:id="0"/>
      <w:r>
        <w:t>Title</w:t>
      </w:r>
    </w:p>
    <w:p w14:paraId="35FC092A" w14:textId="27049CB3" w:rsidR="0027563E" w:rsidRDefault="008A31AF" w:rsidP="00A54E61">
      <w:pPr>
        <w:pStyle w:val="Normal2"/>
      </w:pPr>
      <w:r w:rsidRPr="008A31AF">
        <w:t xml:space="preserve">Whole-genome sequencing identifies emergence of a quinolone resistance mutation in a case of </w:t>
      </w:r>
      <w:proofErr w:type="spellStart"/>
      <w:r w:rsidRPr="00AA7A3F">
        <w:rPr>
          <w:i/>
        </w:rPr>
        <w:t>Stenotrophomonas</w:t>
      </w:r>
      <w:proofErr w:type="spellEnd"/>
      <w:r w:rsidRPr="00AA7A3F">
        <w:rPr>
          <w:i/>
        </w:rPr>
        <w:t xml:space="preserve"> maltophilia</w:t>
      </w:r>
      <w:r w:rsidRPr="008A31AF">
        <w:t xml:space="preserve"> bacteremia</w:t>
      </w:r>
    </w:p>
    <w:p w14:paraId="56259B08" w14:textId="77777777" w:rsidR="0027563E" w:rsidRDefault="0027563E" w:rsidP="00A54E61">
      <w:pPr>
        <w:pStyle w:val="Heading2"/>
      </w:pPr>
      <w:r>
        <w:t>Authors</w:t>
      </w:r>
    </w:p>
    <w:p w14:paraId="7E5BAC1E" w14:textId="30DCBBC3" w:rsidR="0027563E" w:rsidRPr="00F052F5" w:rsidRDefault="00B423C9">
      <w:r>
        <w:t>Theodore R. Pak</w:t>
      </w:r>
      <w:r w:rsidR="00DD41F3">
        <w:t>,</w:t>
      </w:r>
      <w:r w:rsidR="00ED1D26">
        <w:rPr>
          <w:rStyle w:val="FootnoteReference"/>
        </w:rPr>
        <w:footnoteReference w:id="1"/>
      </w:r>
      <w:r>
        <w:t xml:space="preserve"> </w:t>
      </w:r>
      <w:r w:rsidR="001E16A3">
        <w:t>Deena</w:t>
      </w:r>
      <w:r w:rsidR="001E16A3" w:rsidRPr="001E16A3">
        <w:t xml:space="preserve"> R. Al</w:t>
      </w:r>
      <w:r w:rsidR="001E16A3">
        <w:t>tman</w:t>
      </w:r>
      <w:r w:rsidR="00DD41F3">
        <w:t>,</w:t>
      </w:r>
      <w:r w:rsidR="00ED1D26">
        <w:rPr>
          <w:rStyle w:val="FootnoteReference"/>
        </w:rPr>
        <w:footnoteReference w:id="2"/>
      </w:r>
      <w:r w:rsidR="001E16A3">
        <w:t xml:space="preserve"> </w:t>
      </w:r>
      <w:r w:rsidR="00FE2312">
        <w:t xml:space="preserve">Oliver </w:t>
      </w:r>
      <w:proofErr w:type="spellStart"/>
      <w:r w:rsidR="00FE2312">
        <w:t>Attie,</w:t>
      </w:r>
      <w:r w:rsidR="00FE2312">
        <w:rPr>
          <w:vertAlign w:val="superscript"/>
        </w:rPr>
        <w:t>a</w:t>
      </w:r>
      <w:proofErr w:type="spellEnd"/>
      <w:r w:rsidR="00FE2312" w:rsidRPr="001E16A3">
        <w:t xml:space="preserve"> </w:t>
      </w:r>
      <w:r w:rsidR="001E16A3">
        <w:t xml:space="preserve">Robert </w:t>
      </w:r>
      <w:proofErr w:type="spellStart"/>
      <w:r w:rsidR="001E16A3">
        <w:t>Sebra</w:t>
      </w:r>
      <w:r w:rsidR="00DD41F3">
        <w:t>,</w:t>
      </w:r>
      <w:r w:rsidR="001C2FCF">
        <w:rPr>
          <w:vertAlign w:val="superscript"/>
        </w:rPr>
        <w:t>a</w:t>
      </w:r>
      <w:proofErr w:type="spellEnd"/>
      <w:r>
        <w:t xml:space="preserve"> Camille L. </w:t>
      </w:r>
      <w:proofErr w:type="spellStart"/>
      <w:r>
        <w:t>Hamula</w:t>
      </w:r>
      <w:proofErr w:type="spellEnd"/>
      <w:r w:rsidR="00DD41F3">
        <w:t>,</w:t>
      </w:r>
      <w:r w:rsidR="001C2FCF">
        <w:rPr>
          <w:rStyle w:val="FootnoteReference"/>
        </w:rPr>
        <w:footnoteReference w:id="3"/>
      </w:r>
      <w:r>
        <w:t xml:space="preserve"> </w:t>
      </w:r>
      <w:r w:rsidR="001E596C">
        <w:t xml:space="preserve">Martha </w:t>
      </w:r>
      <w:proofErr w:type="spellStart"/>
      <w:r w:rsidR="001E596C">
        <w:t>Lewis,</w:t>
      </w:r>
      <w:r w:rsidR="001E596C">
        <w:rPr>
          <w:vertAlign w:val="superscript"/>
        </w:rPr>
        <w:t>a</w:t>
      </w:r>
      <w:proofErr w:type="spellEnd"/>
      <w:r w:rsidR="001E596C">
        <w:t xml:space="preserve"> </w:t>
      </w:r>
      <w:proofErr w:type="spellStart"/>
      <w:r w:rsidR="00FE2312">
        <w:t>Gintaras</w:t>
      </w:r>
      <w:proofErr w:type="spellEnd"/>
      <w:r w:rsidR="00FE2312">
        <w:t xml:space="preserve"> </w:t>
      </w:r>
      <w:proofErr w:type="spellStart"/>
      <w:r w:rsidR="00FE2312">
        <w:t>Deikus,</w:t>
      </w:r>
      <w:r w:rsidR="00FE2312" w:rsidRPr="00FE2312">
        <w:rPr>
          <w:vertAlign w:val="superscript"/>
        </w:rPr>
        <w:t>a</w:t>
      </w:r>
      <w:proofErr w:type="spellEnd"/>
      <w:r w:rsidR="00FE2312">
        <w:t xml:space="preserve"> </w:t>
      </w:r>
      <w:r w:rsidR="00175682">
        <w:t xml:space="preserve">Leah </w:t>
      </w:r>
      <w:r w:rsidR="0082192A">
        <w:t xml:space="preserve">C. </w:t>
      </w:r>
      <w:proofErr w:type="spellStart"/>
      <w:r w:rsidR="00175682">
        <w:t>Newman,</w:t>
      </w:r>
      <w:r w:rsidR="00175682" w:rsidRPr="00175682">
        <w:rPr>
          <w:vertAlign w:val="superscript"/>
        </w:rPr>
        <w:t>a</w:t>
      </w:r>
      <w:proofErr w:type="spellEnd"/>
      <w:r w:rsidR="00175682">
        <w:t xml:space="preserve"> </w:t>
      </w:r>
      <w:r w:rsidR="00E50C25" w:rsidRPr="00175682">
        <w:t>Gang</w:t>
      </w:r>
      <w:r w:rsidR="00E50C25">
        <w:t xml:space="preserve"> </w:t>
      </w:r>
      <w:proofErr w:type="spellStart"/>
      <w:r w:rsidR="00E50C25">
        <w:t>Fang,</w:t>
      </w:r>
      <w:r w:rsidR="00E50C25">
        <w:rPr>
          <w:vertAlign w:val="superscript"/>
        </w:rPr>
        <w:t>a</w:t>
      </w:r>
      <w:proofErr w:type="spellEnd"/>
      <w:r w:rsidR="00E50C25">
        <w:t xml:space="preserve"> </w:t>
      </w:r>
      <w:r w:rsidR="00B357A0">
        <w:t xml:space="preserve">Jonathan </w:t>
      </w:r>
      <w:proofErr w:type="spellStart"/>
      <w:r w:rsidR="00B357A0">
        <w:t>Hand,</w:t>
      </w:r>
      <w:r w:rsidR="00B357A0">
        <w:rPr>
          <w:vertAlign w:val="superscript"/>
        </w:rPr>
        <w:t>b</w:t>
      </w:r>
      <w:proofErr w:type="spellEnd"/>
      <w:r w:rsidR="00B357A0">
        <w:t xml:space="preserve"> </w:t>
      </w:r>
      <w:proofErr w:type="spellStart"/>
      <w:r w:rsidR="00E50C25">
        <w:t>Gopi</w:t>
      </w:r>
      <w:proofErr w:type="spellEnd"/>
      <w:r w:rsidR="00E50C25">
        <w:t xml:space="preserve"> </w:t>
      </w:r>
      <w:proofErr w:type="spellStart"/>
      <w:r w:rsidR="00E50C25">
        <w:t>Patel,</w:t>
      </w:r>
      <w:r w:rsidR="00E50C25">
        <w:rPr>
          <w:vertAlign w:val="superscript"/>
        </w:rPr>
        <w:t>b</w:t>
      </w:r>
      <w:proofErr w:type="spellEnd"/>
      <w:r w:rsidR="00E50C25" w:rsidRPr="001E16A3">
        <w:t xml:space="preserve"> </w:t>
      </w:r>
      <w:r w:rsidR="00E50C25">
        <w:t xml:space="preserve">Fran </w:t>
      </w:r>
      <w:proofErr w:type="spellStart"/>
      <w:r w:rsidR="00E50C25">
        <w:t>Wallach,</w:t>
      </w:r>
      <w:r w:rsidR="00E50C25">
        <w:rPr>
          <w:vertAlign w:val="superscript"/>
        </w:rPr>
        <w:t>b</w:t>
      </w:r>
      <w:proofErr w:type="spellEnd"/>
      <w:r w:rsidR="00E50C25">
        <w:t xml:space="preserve"> </w:t>
      </w:r>
      <w:r>
        <w:t xml:space="preserve">Eric </w:t>
      </w:r>
      <w:r w:rsidR="00DD41F3">
        <w:t xml:space="preserve">E. </w:t>
      </w:r>
      <w:proofErr w:type="spellStart"/>
      <w:r>
        <w:t>Schadt</w:t>
      </w:r>
      <w:r w:rsidR="00DD41F3">
        <w:t>,</w:t>
      </w:r>
      <w:r w:rsidR="001C2FCF">
        <w:rPr>
          <w:vertAlign w:val="superscript"/>
        </w:rPr>
        <w:t>a</w:t>
      </w:r>
      <w:proofErr w:type="spellEnd"/>
      <w:r>
        <w:t xml:space="preserve"> </w:t>
      </w:r>
      <w:proofErr w:type="spellStart"/>
      <w:r w:rsidR="00FE2312">
        <w:t>Shirish</w:t>
      </w:r>
      <w:proofErr w:type="spellEnd"/>
      <w:r w:rsidR="00FE2312">
        <w:t xml:space="preserve"> </w:t>
      </w:r>
      <w:proofErr w:type="spellStart"/>
      <w:r w:rsidR="00FE2312">
        <w:t>Huprikar,</w:t>
      </w:r>
      <w:r w:rsidR="00260E75">
        <w:rPr>
          <w:vertAlign w:val="superscript"/>
        </w:rPr>
        <w:t>b</w:t>
      </w:r>
      <w:proofErr w:type="spellEnd"/>
      <w:r w:rsidR="00FE2312">
        <w:t xml:space="preserve"> </w:t>
      </w:r>
      <w:r>
        <w:t xml:space="preserve">Harm van </w:t>
      </w:r>
      <w:proofErr w:type="spellStart"/>
      <w:r>
        <w:t>Bakel</w:t>
      </w:r>
      <w:r w:rsidR="00DD41F3">
        <w:t>,</w:t>
      </w:r>
      <w:r w:rsidR="001C2FCF">
        <w:rPr>
          <w:vertAlign w:val="superscript"/>
        </w:rPr>
        <w:t>a</w:t>
      </w:r>
      <w:proofErr w:type="spellEnd"/>
      <w:r>
        <w:t xml:space="preserve"> </w:t>
      </w:r>
      <w:r w:rsidR="00FE2312">
        <w:t xml:space="preserve">Andrew </w:t>
      </w:r>
      <w:proofErr w:type="spellStart"/>
      <w:r w:rsidR="00FE2312">
        <w:t>Kasarskis,</w:t>
      </w:r>
      <w:r w:rsidR="00FE2312">
        <w:rPr>
          <w:vertAlign w:val="superscript"/>
        </w:rPr>
        <w:t>a</w:t>
      </w:r>
      <w:proofErr w:type="spellEnd"/>
      <w:r w:rsidR="00FE2312">
        <w:rPr>
          <w:vertAlign w:val="superscript"/>
        </w:rPr>
        <w:t>,</w:t>
      </w:r>
      <w:r w:rsidR="00B228F1">
        <w:rPr>
          <w:vertAlign w:val="superscript"/>
        </w:rPr>
        <w:t>#</w:t>
      </w:r>
      <w:r w:rsidR="00FE2312">
        <w:t xml:space="preserve"> and </w:t>
      </w:r>
      <w:r>
        <w:t xml:space="preserve">Ali </w:t>
      </w:r>
      <w:proofErr w:type="spellStart"/>
      <w:r>
        <w:t>Bashir</w:t>
      </w:r>
      <w:r w:rsidR="001C2FCF">
        <w:rPr>
          <w:vertAlign w:val="superscript"/>
        </w:rPr>
        <w:t>a</w:t>
      </w:r>
      <w:proofErr w:type="spellEnd"/>
    </w:p>
    <w:p w14:paraId="58C0E1FB" w14:textId="77777777" w:rsidR="0027563E" w:rsidRDefault="0027563E" w:rsidP="00A54E61">
      <w:pPr>
        <w:pStyle w:val="Heading2"/>
      </w:pPr>
      <w:r>
        <w:t>Keywords</w:t>
      </w:r>
    </w:p>
    <w:p w14:paraId="13195637" w14:textId="77777777" w:rsidR="00B423C9" w:rsidRDefault="0027563E" w:rsidP="0027563E">
      <w:r>
        <w:t xml:space="preserve">Whole genome sequencing, </w:t>
      </w:r>
      <w:proofErr w:type="spellStart"/>
      <w:r>
        <w:rPr>
          <w:i/>
        </w:rPr>
        <w:t>Stenotrophomonas</w:t>
      </w:r>
      <w:proofErr w:type="spellEnd"/>
      <w:r>
        <w:rPr>
          <w:i/>
        </w:rPr>
        <w:t xml:space="preserve"> maltophilia</w:t>
      </w:r>
      <w:r>
        <w:t xml:space="preserve">, resistance, quinolone, </w:t>
      </w:r>
      <w:r w:rsidR="00B423C9">
        <w:t>antibiotic</w:t>
      </w:r>
    </w:p>
    <w:p w14:paraId="3610DD03" w14:textId="77777777" w:rsidR="00B423C9" w:rsidRDefault="00B423C9" w:rsidP="00A54E61">
      <w:pPr>
        <w:pStyle w:val="Heading2"/>
      </w:pPr>
      <w:r>
        <w:t>Running title</w:t>
      </w:r>
    </w:p>
    <w:p w14:paraId="3AECEB63" w14:textId="69B320A7" w:rsidR="00B423C9" w:rsidRDefault="00B72681" w:rsidP="00B423C9">
      <w:r>
        <w:t>Emergence of quinolone resistance in</w:t>
      </w:r>
      <w:r w:rsidR="00B423C9">
        <w:t xml:space="preserve"> </w:t>
      </w:r>
      <w:r w:rsidR="00B423C9" w:rsidRPr="00A54E61">
        <w:rPr>
          <w:i/>
        </w:rPr>
        <w:t>S</w:t>
      </w:r>
      <w:r w:rsidR="00AB4AF3" w:rsidRPr="00A54E61">
        <w:rPr>
          <w:i/>
        </w:rPr>
        <w:t>.</w:t>
      </w:r>
      <w:r w:rsidR="00B423C9" w:rsidRPr="00A54E61">
        <w:rPr>
          <w:i/>
        </w:rPr>
        <w:t xml:space="preserve"> maltophilia</w:t>
      </w:r>
      <w:r w:rsidR="00163596">
        <w:t xml:space="preserve"> </w:t>
      </w:r>
    </w:p>
    <w:p w14:paraId="14B78ECC" w14:textId="77777777" w:rsidR="001C2FCF" w:rsidRDefault="001C2FCF" w:rsidP="000F333D">
      <w:pPr>
        <w:pStyle w:val="FootnoteText"/>
        <w:spacing w:line="480" w:lineRule="auto"/>
        <w:rPr>
          <w:sz w:val="22"/>
          <w:szCs w:val="22"/>
        </w:rPr>
      </w:pPr>
    </w:p>
    <w:p w14:paraId="5CB1DE5E" w14:textId="6A6F46B3" w:rsidR="0027563E" w:rsidRPr="000F333D" w:rsidRDefault="00B228F1" w:rsidP="000F333D">
      <w:pPr>
        <w:rPr>
          <w:szCs w:val="22"/>
        </w:rPr>
      </w:pPr>
      <w:r>
        <w:rPr>
          <w:szCs w:val="22"/>
        </w:rPr>
        <w:t>#</w:t>
      </w:r>
      <w:r w:rsidR="001C2FCF">
        <w:rPr>
          <w:szCs w:val="22"/>
        </w:rPr>
        <w:t xml:space="preserve"> Corresponding author</w:t>
      </w:r>
      <w:r w:rsidR="003E3BFA">
        <w:rPr>
          <w:szCs w:val="22"/>
        </w:rPr>
        <w:t xml:space="preserve">: </w:t>
      </w:r>
      <w:r w:rsidR="00FE2312">
        <w:t xml:space="preserve">Andrew Kasarskis, Icahn Institute and Department of Genetics and Genomic Sciences, Icahn School of Medicine at Mount Sinai, One </w:t>
      </w:r>
      <w:proofErr w:type="spellStart"/>
      <w:r w:rsidR="00FE2312">
        <w:t>Gustave</w:t>
      </w:r>
      <w:proofErr w:type="spellEnd"/>
      <w:r w:rsidR="00FE2312">
        <w:t xml:space="preserve"> L. Levy Place, Box 1498, New York, NY 10029, USA; telephone, +1 (212) </w:t>
      </w:r>
      <w:r w:rsidR="00FE2312" w:rsidRPr="00595D0E">
        <w:t>659-8542</w:t>
      </w:r>
      <w:r w:rsidR="00FE2312">
        <w:t xml:space="preserve">; email </w:t>
      </w:r>
      <w:hyperlink r:id="rId9" w:history="1">
        <w:r w:rsidR="00FE2312" w:rsidRPr="001A2764">
          <w:rPr>
            <w:rStyle w:val="Hyperlink"/>
          </w:rPr>
          <w:t>andrew.kasarskis@mssm.edu</w:t>
        </w:r>
      </w:hyperlink>
      <w:r w:rsidR="0027563E">
        <w:br w:type="page"/>
      </w:r>
    </w:p>
    <w:p w14:paraId="000914D2" w14:textId="733C5106" w:rsidR="008C30AA" w:rsidRDefault="003718A8" w:rsidP="008C30AA">
      <w:pPr>
        <w:pStyle w:val="Heading1"/>
      </w:pPr>
      <w:r>
        <w:lastRenderedPageBreak/>
        <w:t>Abstract</w:t>
      </w:r>
    </w:p>
    <w:p w14:paraId="13B0C883" w14:textId="27DDDDDA" w:rsidR="008C30AA" w:rsidRPr="00BC5531" w:rsidRDefault="00BC5531" w:rsidP="00BC5531">
      <w:pPr>
        <w:pStyle w:val="Normal1"/>
      </w:pPr>
      <w:bookmarkStart w:id="1" w:name="h.n850vwzh1pny" w:colFirst="0" w:colLast="0"/>
      <w:bookmarkEnd w:id="1"/>
      <w:r>
        <w:t xml:space="preserve">Whole genome sequences for </w:t>
      </w:r>
      <w:proofErr w:type="spellStart"/>
      <w:r>
        <w:rPr>
          <w:i/>
        </w:rPr>
        <w:t>Stenotrophomonas</w:t>
      </w:r>
      <w:proofErr w:type="spellEnd"/>
      <w:r>
        <w:rPr>
          <w:i/>
        </w:rPr>
        <w:t xml:space="preserve"> maltophilia </w:t>
      </w:r>
      <w:r w:rsidR="006D49F1">
        <w:t xml:space="preserve">serial </w:t>
      </w:r>
      <w:r>
        <w:t xml:space="preserve">isolates from a </w:t>
      </w:r>
      <w:proofErr w:type="spellStart"/>
      <w:r>
        <w:t>bacteremic</w:t>
      </w:r>
      <w:proofErr w:type="spellEnd"/>
      <w:r>
        <w:t xml:space="preserve"> patient before and after development of levofloxacin resistance were </w:t>
      </w:r>
      <w:r w:rsidRPr="00877BEF">
        <w:t>assembled</w:t>
      </w:r>
      <w:r>
        <w:t xml:space="preserve"> </w:t>
      </w:r>
      <w:r w:rsidR="00877BEF">
        <w:rPr>
          <w:i/>
        </w:rPr>
        <w:t xml:space="preserve">de </w:t>
      </w:r>
      <w:r w:rsidR="00877BEF" w:rsidRPr="00877BEF">
        <w:rPr>
          <w:i/>
        </w:rPr>
        <w:t xml:space="preserve">novo </w:t>
      </w:r>
      <w:r w:rsidR="008102C4">
        <w:t xml:space="preserve">and </w:t>
      </w:r>
      <w:r>
        <w:t xml:space="preserve">differed </w:t>
      </w:r>
      <w:r w:rsidR="00877BEF">
        <w:t xml:space="preserve">by one </w:t>
      </w:r>
      <w:r w:rsidR="00E379E2">
        <w:t>single-</w:t>
      </w:r>
      <w:r w:rsidRPr="00A54E61">
        <w:t xml:space="preserve">nucleotide </w:t>
      </w:r>
      <w:r>
        <w:t xml:space="preserve">variant in </w:t>
      </w:r>
      <w:proofErr w:type="spellStart"/>
      <w:r>
        <w:rPr>
          <w:i/>
        </w:rPr>
        <w:t>smeT</w:t>
      </w:r>
      <w:proofErr w:type="spellEnd"/>
      <w:r w:rsidR="001E5CA9">
        <w:t xml:space="preserve">, a repressor for </w:t>
      </w:r>
      <w:r w:rsidR="00782DF2">
        <w:t>multi</w:t>
      </w:r>
      <w:r w:rsidR="001E5CA9">
        <w:t>drug efflux operon</w:t>
      </w:r>
      <w:r w:rsidR="00D57F0D">
        <w:t xml:space="preserve"> </w:t>
      </w:r>
      <w:proofErr w:type="spellStart"/>
      <w:r w:rsidR="00D57F0D">
        <w:rPr>
          <w:i/>
        </w:rPr>
        <w:t>smeDEF</w:t>
      </w:r>
      <w:proofErr w:type="spellEnd"/>
      <w:r w:rsidRPr="00A54E61">
        <w:rPr>
          <w:i/>
        </w:rPr>
        <w:t xml:space="preserve">. </w:t>
      </w:r>
      <w:r w:rsidR="00B451CD">
        <w:t>Along with</w:t>
      </w:r>
      <w:r w:rsidR="00291661">
        <w:t xml:space="preserve"> sequenced</w:t>
      </w:r>
      <w:r w:rsidR="009A18B9">
        <w:t xml:space="preserve"> isolates</w:t>
      </w:r>
      <w:r w:rsidR="008102C4">
        <w:t xml:space="preserve"> from </w:t>
      </w:r>
      <w:r w:rsidR="00005B0F">
        <w:t>five contemporaneous</w:t>
      </w:r>
      <w:r w:rsidR="001E5CA9">
        <w:t xml:space="preserve"> </w:t>
      </w:r>
      <w:r w:rsidR="00E47A11">
        <w:t>cases</w:t>
      </w:r>
      <w:r w:rsidR="00291661">
        <w:t>, they</w:t>
      </w:r>
      <w:r>
        <w:t xml:space="preserve"> displayed </w:t>
      </w:r>
      <w:r w:rsidR="002758C3">
        <w:t>considerable</w:t>
      </w:r>
      <w:r>
        <w:t xml:space="preserve"> diversity</w:t>
      </w:r>
      <w:r w:rsidR="00160789">
        <w:t xml:space="preserve"> </w:t>
      </w:r>
      <w:r>
        <w:t xml:space="preserve">compared </w:t>
      </w:r>
      <w:r w:rsidR="00C468B6">
        <w:t>against</w:t>
      </w:r>
      <w:r w:rsidR="00877BEF">
        <w:t xml:space="preserve"> all</w:t>
      </w:r>
      <w:r>
        <w:t xml:space="preserve"> </w:t>
      </w:r>
      <w:r w:rsidR="00300CE5">
        <w:t>published</w:t>
      </w:r>
      <w:r w:rsidR="0057510E">
        <w:t xml:space="preserve"> </w:t>
      </w:r>
      <w:r w:rsidR="00F50989">
        <w:t xml:space="preserve">complete </w:t>
      </w:r>
      <w:r w:rsidR="00820BE5">
        <w:t>genomes</w:t>
      </w:r>
      <w:r w:rsidR="00C17129">
        <w:t>. Whole genome sequencing</w:t>
      </w:r>
      <w:r w:rsidR="001234ED">
        <w:t xml:space="preserve"> </w:t>
      </w:r>
      <w:r w:rsidR="00834F18">
        <w:t xml:space="preserve">and complete assembly </w:t>
      </w:r>
      <w:r w:rsidR="00666EDE">
        <w:t xml:space="preserve">can </w:t>
      </w:r>
      <w:r w:rsidR="002B18CA">
        <w:t>conclusively</w:t>
      </w:r>
      <w:r w:rsidR="00666EDE">
        <w:t xml:space="preserve"> identify</w:t>
      </w:r>
      <w:r w:rsidR="002B18CA">
        <w:t xml:space="preserve"> resistance mechanisms</w:t>
      </w:r>
      <w:r w:rsidR="001B5E4E">
        <w:t xml:space="preserve"> </w:t>
      </w:r>
      <w:r w:rsidR="002B18CA">
        <w:t xml:space="preserve">emerging in </w:t>
      </w:r>
      <w:r w:rsidR="002B18CA" w:rsidRPr="00035F8F">
        <w:rPr>
          <w:i/>
        </w:rPr>
        <w:t>S. maltophilia</w:t>
      </w:r>
      <w:r w:rsidR="002B18CA">
        <w:t xml:space="preserve"> </w:t>
      </w:r>
      <w:r w:rsidR="00291661">
        <w:t xml:space="preserve">strains </w:t>
      </w:r>
      <w:r w:rsidR="00C17129">
        <w:t>during clinical therapy.</w:t>
      </w:r>
      <w:r w:rsidR="008C30AA">
        <w:br w:type="page"/>
      </w:r>
    </w:p>
    <w:p w14:paraId="42871C9B" w14:textId="18D91D13" w:rsidR="0034713E" w:rsidRDefault="00B162EE" w:rsidP="0034713E">
      <w:pPr>
        <w:pStyle w:val="Normal2"/>
        <w:ind w:firstLine="720"/>
      </w:pPr>
      <w:proofErr w:type="spellStart"/>
      <w:r>
        <w:rPr>
          <w:i/>
        </w:rPr>
        <w:lastRenderedPageBreak/>
        <w:t>Stenotrophomonas</w:t>
      </w:r>
      <w:proofErr w:type="spellEnd"/>
      <w:r>
        <w:rPr>
          <w:i/>
        </w:rPr>
        <w:t xml:space="preserve"> maltophilia</w:t>
      </w:r>
      <w:r>
        <w:t xml:space="preserve"> is an aerobic, non-fermenting, and motile Gram-negative </w:t>
      </w:r>
      <w:r w:rsidR="00302F5D">
        <w:t>bacterium</w:t>
      </w:r>
      <w:r w:rsidR="0071616D">
        <w:t xml:space="preserve"> </w:t>
      </w:r>
      <w:r>
        <w:t>that is increasingly</w:t>
      </w:r>
      <w:r w:rsidR="00524846">
        <w:t xml:space="preserve"> </w:t>
      </w:r>
      <w:r w:rsidR="0071616D">
        <w:t>recognized as a cause of hospital-acquired infections with</w:t>
      </w:r>
      <w:r w:rsidR="00524846">
        <w:t xml:space="preserve"> crude mortality rates </w:t>
      </w:r>
      <w:r w:rsidR="0071616D">
        <w:t>of</w:t>
      </w:r>
      <w:r w:rsidR="00524846">
        <w:t xml:space="preserve"> 14</w:t>
      </w:r>
      <w:r w:rsidR="0043701A">
        <w:t>–</w:t>
      </w:r>
      <w:r w:rsidR="00524846">
        <w:t>69% in cases of bacteremia</w:t>
      </w:r>
      <w:r w:rsidR="00F60A01">
        <w:t xml:space="preserve"> </w:t>
      </w:r>
      <w:r w:rsidR="00524846">
        <w:fldChar w:fldCharType="begin" w:fldLock="1"/>
      </w:r>
      <w:r w:rsidR="007F7A1F">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"(1)", "plainTextFormattedCitation" : "(1)", "previouslyFormattedCitation" : "(1)" }, "properties" : { "noteIndex" : 0 }, "schema" : "https://github.com/citation-style-language/schema/raw/master/csl-citation.json" }</w:instrText>
      </w:r>
      <w:r w:rsidR="00524846">
        <w:fldChar w:fldCharType="separate"/>
      </w:r>
      <w:r w:rsidR="00E60ECD" w:rsidRPr="00E60ECD">
        <w:rPr>
          <w:noProof/>
        </w:rPr>
        <w:t>(1)</w:t>
      </w:r>
      <w:r w:rsidR="00524846">
        <w:fldChar w:fldCharType="end"/>
      </w:r>
      <w:r w:rsidR="003A26CD">
        <w:t>.</w:t>
      </w:r>
      <w:r w:rsidR="00092768">
        <w:t xml:space="preserve"> </w:t>
      </w:r>
      <w:r w:rsidR="0018508F">
        <w:t xml:space="preserve">Treatment </w:t>
      </w:r>
      <w:r w:rsidR="0071616D">
        <w:t xml:space="preserve">of </w:t>
      </w:r>
      <w:r w:rsidR="0018508F">
        <w:rPr>
          <w:i/>
        </w:rPr>
        <w:t>S. maltophilia</w:t>
      </w:r>
      <w:r w:rsidR="0018508F">
        <w:t xml:space="preserve"> infections is </w:t>
      </w:r>
      <w:r w:rsidR="0071616D">
        <w:t>challenging due</w:t>
      </w:r>
      <w:r w:rsidR="0018508F">
        <w:t xml:space="preserve"> </w:t>
      </w:r>
      <w:r w:rsidR="0071616D">
        <w:t xml:space="preserve">to </w:t>
      </w:r>
      <w:r w:rsidR="0018508F">
        <w:t xml:space="preserve">the pathogen’s intrinsic resistance to many antibiotic classes </w:t>
      </w:r>
      <w:r w:rsidR="004421E2">
        <w:t>via</w:t>
      </w:r>
      <w:r w:rsidR="0018508F">
        <w:t xml:space="preserve"> drug efflux pumps, beta</w:t>
      </w:r>
      <w:r w:rsidR="0071616D">
        <w:t>-</w:t>
      </w:r>
      <w:r w:rsidR="0018508F">
        <w:t>lactamase production, and decreased</w:t>
      </w:r>
      <w:r w:rsidR="00BA1858">
        <w:t xml:space="preserve"> membrane</w:t>
      </w:r>
      <w:r w:rsidR="0018508F">
        <w:t xml:space="preserve"> permeability</w:t>
      </w:r>
      <w:r w:rsidR="00F60A01">
        <w:t xml:space="preserve"> </w:t>
      </w:r>
      <w:r w:rsidR="0018508F">
        <w:fldChar w:fldCharType="begin" w:fldLock="1"/>
      </w:r>
      <w:r w:rsidR="007F7A1F">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"(1)", "plainTextFormattedCitation" : "(1)", "previouslyFormattedCitation" : "(1)" }, "properties" : { "noteIndex" : 0 }, "schema" : "https://github.com/citation-style-language/schema/raw/master/csl-citation.json" }</w:instrText>
      </w:r>
      <w:r w:rsidR="0018508F">
        <w:fldChar w:fldCharType="separate"/>
      </w:r>
      <w:r w:rsidR="00E60ECD" w:rsidRPr="00E60ECD">
        <w:rPr>
          <w:noProof/>
        </w:rPr>
        <w:t>(1)</w:t>
      </w:r>
      <w:r w:rsidR="0018508F">
        <w:fldChar w:fldCharType="end"/>
      </w:r>
      <w:r w:rsidR="003A26CD">
        <w:t>.</w:t>
      </w:r>
      <w:r w:rsidR="0018508F">
        <w:t xml:space="preserve"> Resistance </w:t>
      </w:r>
      <w:r w:rsidR="0057620E">
        <w:t xml:space="preserve">phenotypes are known to change </w:t>
      </w:r>
      <w:r w:rsidR="0018508F">
        <w:t xml:space="preserve">during the course of treatment, which complicates interpretation of </w:t>
      </w:r>
      <w:r w:rsidR="0057620E" w:rsidRPr="0057620E">
        <w:t xml:space="preserve">automated drug </w:t>
      </w:r>
      <w:r w:rsidR="0018508F">
        <w:t>susceptibility testing</w:t>
      </w:r>
      <w:r w:rsidR="0057620E">
        <w:t xml:space="preserve"> (DST)</w:t>
      </w:r>
      <w:r w:rsidR="00D8717E">
        <w:t xml:space="preserve"> results</w:t>
      </w:r>
      <w:r w:rsidR="00F60A01">
        <w:t xml:space="preserve"> </w:t>
      </w:r>
      <w:r w:rsidR="0018508F">
        <w:fldChar w:fldCharType="begin" w:fldLock="1"/>
      </w:r>
      <w:r w:rsidR="007F7A1F">
        <w:instrText>ADDIN CSL_CITATION { "citationItems" : [ { "id" : "ITEM-1", "itemData" : { "ISSN" : "00664804", "PMID" : "9124855", "abstract" : "Emergence of Stenotrophomonas maltophilia as a nosocomial pathogen is becoming increasingly apparent. Pleiotropic resistance characterizes S. maltophilia. Furthermore, a slow growth rate and an increased mutation rate generate discordance between in vitro susceptibility testing and clinical outcome. Despite original susceptibility, drug-resistant strains of S. maltophilia are often recovered from patients receiving beta-lactams, quinolones, or aminoglycosides. Given the disparity among various in vitro susceptibility methods, this study incorporated a unique pharmacodynamic model to more accurately characterize the bacterial time-kill curves and mutation rates of four clinical isolates of S. maltophilia following exposure to simulated multidose regimens of ceftazidime, ciprofloxacin, gentamicin, and ticarcillin-clavulanate. Time-kill data demonstrated regrowth of S. maltophilia with all four agents. With the exception of ticarcillin-clavulanate, viable bacterial counts at the end of 24 h exceeded the starting inoculum. Ciprofloxacin only reduced bacterial counts by less than 1.0 log prior to rapid bacterial regrowth. Resistant mutant strains, identical to their parent strain by pulsed-field gel electrophoresis, were observed following exposure to each class of antibiotic. Mutant strains also had distinct susceptibility patterns. These data are consistent with previous reports which suggest that S. maltophilia, despite susceptibility data that imply that the organism is sensitive, develops multiple forms of resistance quickly and against several classes of antimicrobial agents. Standard in vitro susceptibility methods are not completely reliable for detecting resistant S. maltophilia strains; and therefore, interpretation of these results should be done with caution. In vivo studies are needed to determine optimal therapy against S. maltophilia infections.", "author" : [ { "dropping-particle" : "", "family" : "Garrison", "given" : "Mark W.", "non-dropping-particle" : "", "parse-names" : false, "suffix" : "" }, { "dropping-particle" : "", "family" : "Anderson", "given" : "Donald E.", "non-dropping-particle" : "", "parse-names" : false, "suffix" : "" }, { "dropping-particle" : "", "family" : "Campbell", "given" : "Douglas M.", "non-dropping-particle" : "", "parse-names" : false, "suffix" : "" }, { "dropping-particle" : "", "family" : "Carroll", "given" : "Karen C.", "non-dropping-particle" : "", "parse-names" : false, "suffix" : "" }, { "dropping-particle" : "", "family" : "Malone", "given" : "Connie L.", "non-dropping-particle" : "", "parse-names" : false, "suffix" : "" }, { "dropping-particle" : "", "family" : "Anderson", "given" : "Jeffrey D.", "non-dropping-particle" : "", "parse-names" : false, "suffix" : "" }, { "dropping-particle" : "", "family" : "Hollis", "given" : "Richard J.", "non-dropping-particle" : "", "parse-names" : false, "suffix" : "" }, { "dropping-particle" : "", "family" : "Pfaller", "given" : "Michael A.", "non-dropping-particle" : "", "parse-names" : false, "suffix" : "" } ], "container-title" : "Antimicrobial Agents and Chemotherapy", "id" : "ITEM-1", "issue" : "12", "issued" : { "date-parts" : [ [ "1996" ] ] }, "page" : "2859-2864", "title" : "Stenotrophomonas maltophilia: Emergence of multidrug-resistant strains during therapy and in an in vitro pharmacodynamic chamber model", "type" : "article-journal", "volume" : "40" }, "uris" : [ "http://www.mendeley.com/documents/?uuid=96a82146-4cf5-4be5-8a9a-9f4664febada" ] } ], "mendeley" : { "formattedCitation" : "(2)", "plainTextFormattedCitation" : "(2)", "previouslyFormattedCitation" : "(2)" }, "properties" : { "noteIndex" : 0 }, "schema" : "https://github.com/citation-style-language/schema/raw/master/csl-citation.json" }</w:instrText>
      </w:r>
      <w:r w:rsidR="0018508F">
        <w:fldChar w:fldCharType="separate"/>
      </w:r>
      <w:r w:rsidR="00E60ECD" w:rsidRPr="00E60ECD">
        <w:rPr>
          <w:noProof/>
        </w:rPr>
        <w:t>(2)</w:t>
      </w:r>
      <w:r w:rsidR="0018508F">
        <w:fldChar w:fldCharType="end"/>
      </w:r>
      <w:r w:rsidR="003A26CD">
        <w:t>.</w:t>
      </w:r>
      <w:r w:rsidR="0057620E">
        <w:t xml:space="preserve"> A</w:t>
      </w:r>
      <w:r w:rsidR="00FD78D4">
        <w:t xml:space="preserve"> mutant strain of</w:t>
      </w:r>
      <w:r w:rsidR="00BA1858">
        <w:t xml:space="preserve"> </w:t>
      </w:r>
      <w:r w:rsidR="00BA1858">
        <w:rPr>
          <w:i/>
        </w:rPr>
        <w:t>S. maltophilia</w:t>
      </w:r>
      <w:r w:rsidR="00BA1858">
        <w:t xml:space="preserve"> with emerging resistance to tetracycline, chloramphenicol, and quinolones was previously characterized following </w:t>
      </w:r>
      <w:r w:rsidR="00BA1858">
        <w:rPr>
          <w:i/>
        </w:rPr>
        <w:t>in vitro</w:t>
      </w:r>
      <w:r w:rsidR="00BA1858">
        <w:t xml:space="preserve"> tetracycline selection</w:t>
      </w:r>
      <w:r w:rsidR="00F60A01">
        <w:t xml:space="preserve"> </w:t>
      </w:r>
      <w:r w:rsidR="009421FB">
        <w:fldChar w:fldCharType="begin" w:fldLock="1"/>
      </w:r>
      <w:r w:rsidR="007F7A1F">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"id" : "ITEM-2",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"ITEM-2", "issue" : "5", "issued" : { "date-parts" : [ [ "1997" ] ] }, "page" : "1140-1142", "title" : "Multiple antibiotic resistance in Stenotrophomonas maltophilia.", "type" : "article-journal", "volume" : "41" }, "uris" : [ "http://www.mendeley.com/documents/?uuid=8c04615a-5e00-43d0-98fb-e903e095b598" ] } ], "mendeley" : { "formattedCitation" : "(3, 4)", "plainTextFormattedCitation" : "(3, 4)", "previouslyFormattedCitation" : "(3, 4)" }, "properties" : { "noteIndex" : 0 }, "schema" : "https://github.com/citation-style-language/schema/raw/master/csl-citation.json" }</w:instrText>
      </w:r>
      <w:r w:rsidR="009421FB">
        <w:fldChar w:fldCharType="separate"/>
      </w:r>
      <w:r w:rsidR="00E60ECD" w:rsidRPr="00E60ECD">
        <w:rPr>
          <w:noProof/>
        </w:rPr>
        <w:t>(3, 4)</w:t>
      </w:r>
      <w:r w:rsidR="009421FB">
        <w:fldChar w:fldCharType="end"/>
      </w:r>
      <w:r w:rsidR="00FD78D4">
        <w:t xml:space="preserve">. However, </w:t>
      </w:r>
      <w:r w:rsidR="0057620E">
        <w:t>little is known about the genetic</w:t>
      </w:r>
      <w:r w:rsidR="00E7590B">
        <w:t xml:space="preserve"> and molecular</w:t>
      </w:r>
      <w:r w:rsidR="0057620E">
        <w:t xml:space="preserve"> mechanisms underlying </w:t>
      </w:r>
      <w:r w:rsidR="00E64264">
        <w:t xml:space="preserve">acquired </w:t>
      </w:r>
      <w:r w:rsidR="0057620E">
        <w:t>resistance in</w:t>
      </w:r>
      <w:r w:rsidR="003B2590">
        <w:t xml:space="preserve"> the</w:t>
      </w:r>
      <w:r w:rsidR="0057620E">
        <w:t xml:space="preserve"> clinical </w:t>
      </w:r>
      <w:r w:rsidR="003B2590">
        <w:t>setting</w:t>
      </w:r>
      <w:r w:rsidR="00F46B2B">
        <w:t>—</w:t>
      </w:r>
      <w:r w:rsidR="006A0ADD">
        <w:t xml:space="preserve">particularly for quinolones, where </w:t>
      </w:r>
      <w:r w:rsidR="00443B2E">
        <w:t>in c</w:t>
      </w:r>
      <w:r w:rsidR="00F46B2B">
        <w:t>ontrast to other Gram-negatives,</w:t>
      </w:r>
      <w:r w:rsidR="00443B2E">
        <w:t xml:space="preserve"> </w:t>
      </w:r>
      <w:r w:rsidR="006A0ADD">
        <w:t xml:space="preserve">the quinolone-resistance determining region (QRDR) of topoisomerase genes </w:t>
      </w:r>
      <w:r w:rsidR="00110EBF">
        <w:t xml:space="preserve">is often unaltered </w:t>
      </w:r>
      <w:r w:rsidR="006A0ADD">
        <w:fldChar w:fldCharType="begin" w:fldLock="1"/>
      </w:r>
      <w:r w:rsidR="003868F1">
        <w:instrText>ADDIN CSL_CITATION { "citationItems" : [ { "id" : "ITEM-1", "itemData" : { "DOI" : "10.1093/jac/dki182", "ISBN" : "3491336880", "ISSN" : "03057453", "PMID" : "15928010", "abstract" : "OBJECTIVES: To ascertain the participation of topoisomerase mutations in the development of ciprofloxacin resistance in isogenic Stenotrophomonas maltophilia mutants. METHODS: gyrAB and parCE sequences in three paired in vivo isogenic ciprofloxacin-susceptible (MIC range 0.5-4 mg/L) and resistant (16-128 mg/L) S. maltophilia strains (PFGE-characterized) sequentially isolated from three patients, and their corresponding in vitro mutants (ciprofloxacin MIC range 2-&gt;128 mg/L), were studied. Efflux phenotype was also investigated. RESULTS: Despite different quinolone susceptibilities, each paired clinical strain displayed identical gyrAB and parCE sequences as well as their corresponding in vitro mutants. Up to 50% (18/36) of in vitro mutants displayed a positive efflux phenotype when nalidixic acid was combined with MC-207,110, while 6% (2/36) showed the phenotype when exposed to nalidixic acid and reserpine. Carbonyl cyanide m-chlorophenylhydrazone or arsenite failed to alter quinolone MICs. CONCLUSIONS: The increase of ciprofloxacin MICs in in vivo and in vitro isogenic S. maltophilia mutant strains was not related to quinolone resistance determining region mutations. Highly effective efflux mechanisms might preserve topoisomerase targets from a ciprofloxacin challenge in S. maltophilia.", "author" : [ { "dropping-particle" : "", "family" : "Valdezate", "given" : "Sylvia", "non-dropping-particle" : "", "parse-names" : false, "suffix" : "" }, { "dropping-particle" : "", "family" : "Vindel", "given" : "Ana", "non-dropping-particle" : "", "parse-names" : false, "suffix" : "" }, { "dropping-particle" : "", "family" : "Sa\u00e9z-Nieto", "given" : "Juan Antonio", "non-dropping-particle" : "", "parse-names" : false, "suffix" : "" }, { "dropping-particle" : "", "family" : "Baquero", "given" : "Fernando", "non-dropping-particle" : "", "parse-names" : false, "suffix" : "" }, { "dropping-particle" : "", "family" : "Cant\u00f3n", "given" : "Rafael", "non-dropping-particle" : "", "parse-names" : false, "suffix" : "" } ], "container-title" : "Journal of Antimicrobial Chemotherapy", "id" : "ITEM-1", "issue" : "1", "issued" : { "date-parts" : [ [ "2005" ] ] }, "page" : "220-223", "title" : "Preservation of topoisomerase genetic sequences during in vivo and in vitro development of high-level resistance to ciprofloxacin in isogenic Stenotrophomonas maltophilia strains", "type" : "article-journal", "volume" : "56" }, "uris" : [ "http://www.mendeley.com/documents/?uuid=2363f321-fbb4-4ba1-bbb7-ca505931baf4" ] } ], "mendeley" : { "formattedCitation" : "(5)", "plainTextFormattedCitation" : "(5)", "previouslyFormattedCitation" : "(5)" }, "properties" : { "noteIndex" : 0 }, "schema" : "https://github.com/citation-style-language/schema/raw/master/csl-citation.json" }</w:instrText>
      </w:r>
      <w:r w:rsidR="006A0ADD">
        <w:fldChar w:fldCharType="separate"/>
      </w:r>
      <w:r w:rsidR="006A0ADD" w:rsidRPr="006A0ADD">
        <w:rPr>
          <w:noProof/>
        </w:rPr>
        <w:t>(5)</w:t>
      </w:r>
      <w:r w:rsidR="006A0ADD">
        <w:fldChar w:fldCharType="end"/>
      </w:r>
      <w:r w:rsidR="0057620E">
        <w:t>.</w:t>
      </w:r>
      <w:r w:rsidR="0039726B">
        <w:t xml:space="preserve"> </w:t>
      </w:r>
      <w:r w:rsidR="0039726B" w:rsidRPr="001D276F">
        <w:t>In</w:t>
      </w:r>
      <w:r w:rsidR="0039726B">
        <w:t xml:space="preserve"> this </w:t>
      </w:r>
      <w:r w:rsidR="00FD78D4">
        <w:t>report</w:t>
      </w:r>
      <w:r w:rsidR="0039726B">
        <w:t xml:space="preserve">, we </w:t>
      </w:r>
      <w:r w:rsidR="00FD78D4">
        <w:t xml:space="preserve">describe </w:t>
      </w:r>
      <w:r w:rsidR="0039726B">
        <w:t>the first reported use of whole genome sequencing</w:t>
      </w:r>
      <w:r w:rsidR="00915B68">
        <w:t xml:space="preserve"> (WGS)</w:t>
      </w:r>
      <w:r w:rsidR="0041184A">
        <w:t xml:space="preserve"> in serial</w:t>
      </w:r>
      <w:r w:rsidR="00C641BA">
        <w:t xml:space="preserve"> clinical</w:t>
      </w:r>
      <w:r w:rsidR="0041184A">
        <w:t xml:space="preserve"> isolates to definitively </w:t>
      </w:r>
      <w:r w:rsidR="0039726B">
        <w:t>identify a</w:t>
      </w:r>
      <w:r w:rsidR="0095230C">
        <w:t>n acquired quinolone resistance</w:t>
      </w:r>
      <w:r w:rsidR="0039726B">
        <w:t xml:space="preserve"> mutation</w:t>
      </w:r>
      <w:r w:rsidR="00C641BA">
        <w:t xml:space="preserve"> in</w:t>
      </w:r>
      <w:r w:rsidR="00E3405F">
        <w:t xml:space="preserve"> </w:t>
      </w:r>
      <w:r w:rsidR="00E3405F">
        <w:rPr>
          <w:i/>
        </w:rPr>
        <w:t>S. maltophilia</w:t>
      </w:r>
      <w:r w:rsidR="00194CC3">
        <w:t xml:space="preserve">. </w:t>
      </w:r>
      <w:bookmarkStart w:id="2" w:name="h.isobm5ru4yfm" w:colFirst="0" w:colLast="0"/>
      <w:bookmarkEnd w:id="2"/>
    </w:p>
    <w:p w14:paraId="29C7E46B" w14:textId="41D57EC1" w:rsidR="00476D9E" w:rsidRPr="00476D9E" w:rsidRDefault="00476D9E" w:rsidP="00476D9E">
      <w:pPr>
        <w:pStyle w:val="Normal2"/>
        <w:ind w:firstLine="720"/>
      </w:pPr>
      <w:bookmarkStart w:id="3" w:name="h.gnzjjimvgbk" w:colFirst="0" w:colLast="0"/>
      <w:bookmarkStart w:id="4" w:name="h.ldndngepyk1w" w:colFirst="0" w:colLast="0"/>
      <w:bookmarkEnd w:id="3"/>
      <w:bookmarkEnd w:id="4"/>
      <w:r w:rsidRPr="00476D9E">
        <w:t>WGS was performed for the initial and subsequent </w:t>
      </w:r>
      <w:r w:rsidRPr="00476D9E">
        <w:rPr>
          <w:i/>
          <w:iCs/>
        </w:rPr>
        <w:t>S. maltophilia </w:t>
      </w:r>
      <w:r w:rsidRPr="00476D9E">
        <w:t xml:space="preserve">blood culture isolates from a patient where acquired quinolone resistance was observed (Patient 1) and five other patients (Patients 2-6) selected from a two-month period in 2013 at The Mount Sinai Hospital. Patient 1 was a 56 year-old man </w:t>
      </w:r>
      <w:r w:rsidR="00A07093">
        <w:t>requiring u</w:t>
      </w:r>
      <w:r w:rsidRPr="00476D9E">
        <w:t>rgent placement of an intrahepatic shunt</w:t>
      </w:r>
      <w:r w:rsidR="00F7529A">
        <w:t xml:space="preserve"> for complications of a Whipple procedure</w:t>
      </w:r>
      <w:r w:rsidR="00A07093">
        <w:t>, which</w:t>
      </w:r>
      <w:r w:rsidRPr="00476D9E">
        <w:t xml:space="preserve"> </w:t>
      </w:r>
      <w:r w:rsidR="00F7529A">
        <w:t>was followed by</w:t>
      </w:r>
      <w:r w:rsidRPr="00476D9E">
        <w:t xml:space="preserve"> several </w:t>
      </w:r>
      <w:r w:rsidR="00187361">
        <w:t xml:space="preserve">episodes of bacteremia that were </w:t>
      </w:r>
      <w:r w:rsidRPr="00476D9E">
        <w:t xml:space="preserve">treated with multiple courses of antimicrobials, including levofloxacin. Two months later, </w:t>
      </w:r>
      <w:r w:rsidR="00B2745B">
        <w:t xml:space="preserve">another </w:t>
      </w:r>
      <w:r w:rsidR="00997F2E">
        <w:t>bacteremia</w:t>
      </w:r>
      <w:r w:rsidR="00B2745B">
        <w:t xml:space="preserve"> developed, and b</w:t>
      </w:r>
      <w:r w:rsidRPr="00476D9E">
        <w:t>lood cultures intermittently grew</w:t>
      </w:r>
      <w:r>
        <w:t xml:space="preserve"> </w:t>
      </w:r>
      <w:r w:rsidRPr="00476D9E">
        <w:rPr>
          <w:i/>
          <w:iCs/>
        </w:rPr>
        <w:t>S. maltophilia </w:t>
      </w:r>
      <w:r w:rsidRPr="00476D9E">
        <w:t>despite antimicrobial therapy. Automated DST by Vitek2</w:t>
      </w:r>
      <w:r w:rsidRPr="00476D9E">
        <w:rPr>
          <w:b/>
          <w:bCs/>
        </w:rPr>
        <w:t>® </w:t>
      </w:r>
      <w:r w:rsidRPr="00476D9E">
        <w:t>(</w:t>
      </w:r>
      <w:proofErr w:type="spellStart"/>
      <w:r w:rsidRPr="00476D9E">
        <w:t>bioMérieux</w:t>
      </w:r>
      <w:proofErr w:type="spellEnd"/>
      <w:r w:rsidRPr="00476D9E">
        <w:t>, Marcy-</w:t>
      </w:r>
      <w:proofErr w:type="spellStart"/>
      <w:r w:rsidRPr="00476D9E">
        <w:t>l’Etoile</w:t>
      </w:r>
      <w:proofErr w:type="spellEnd"/>
      <w:r w:rsidRPr="00476D9E">
        <w:t>, France) showed that the first </w:t>
      </w:r>
      <w:r w:rsidRPr="00476D9E">
        <w:rPr>
          <w:i/>
          <w:iCs/>
        </w:rPr>
        <w:t>S. maltophilia </w:t>
      </w:r>
      <w:r w:rsidRPr="00476D9E">
        <w:t xml:space="preserve">isolate acquired (ISMMS2) was susceptible to </w:t>
      </w:r>
      <w:proofErr w:type="spellStart"/>
      <w:r w:rsidRPr="00476D9E">
        <w:t>fluoroquinolones</w:t>
      </w:r>
      <w:proofErr w:type="spellEnd"/>
      <w:r w:rsidRPr="00476D9E">
        <w:t xml:space="preserve"> and trimethoprim/</w:t>
      </w:r>
      <w:proofErr w:type="spellStart"/>
      <w:r w:rsidRPr="00476D9E">
        <w:t>sulfamethoxazole</w:t>
      </w:r>
      <w:proofErr w:type="spellEnd"/>
      <w:r w:rsidRPr="00476D9E">
        <w:t xml:space="preserve"> (SXT).</w:t>
      </w:r>
      <w:r>
        <w:t xml:space="preserve"> </w:t>
      </w:r>
      <w:r w:rsidR="00617166">
        <w:t xml:space="preserve">After treatment </w:t>
      </w:r>
      <w:r w:rsidRPr="00476D9E">
        <w:t xml:space="preserve">with ciprofloxacin the bacteremia </w:t>
      </w:r>
      <w:r w:rsidR="00617166">
        <w:t xml:space="preserve">initially </w:t>
      </w:r>
      <w:r w:rsidRPr="00476D9E">
        <w:t>cleared, but blood cultures nine days later again grew </w:t>
      </w:r>
      <w:r w:rsidRPr="00476D9E">
        <w:rPr>
          <w:i/>
          <w:iCs/>
        </w:rPr>
        <w:t>S. maltophilia </w:t>
      </w:r>
      <w:r w:rsidRPr="00476D9E">
        <w:t xml:space="preserve">(isolated as ISMMS2R), now resistant to </w:t>
      </w:r>
      <w:proofErr w:type="spellStart"/>
      <w:r w:rsidRPr="00476D9E">
        <w:t>fluoroquinolones</w:t>
      </w:r>
      <w:proofErr w:type="spellEnd"/>
      <w:r w:rsidRPr="00476D9E">
        <w:t xml:space="preserve"> while still susceptible to </w:t>
      </w:r>
      <w:r w:rsidRPr="00476D9E">
        <w:lastRenderedPageBreak/>
        <w:t>SXT. Ciprofloxacin was stopped and intravenous SXT was given; subsequent cultures did not grow </w:t>
      </w:r>
      <w:r w:rsidRPr="00476D9E">
        <w:rPr>
          <w:i/>
          <w:iCs/>
        </w:rPr>
        <w:t>S. maltophilia.</w:t>
      </w:r>
    </w:p>
    <w:p w14:paraId="5B15DFDB" w14:textId="5EBB6CAC" w:rsidR="001D2496" w:rsidRDefault="0006274F" w:rsidP="00D42562">
      <w:pPr>
        <w:pStyle w:val="Normal2"/>
        <w:ind w:firstLine="720"/>
      </w:pPr>
      <w:r>
        <w:t>Standard cultur</w:t>
      </w:r>
      <w:r w:rsidR="0056493C">
        <w:t>ing</w:t>
      </w:r>
      <w:r>
        <w:t xml:space="preserve"> and susceptibility testing</w:t>
      </w:r>
      <w:r w:rsidR="002D27B2">
        <w:t xml:space="preserve"> for </w:t>
      </w:r>
      <w:r w:rsidR="00251B5E">
        <w:t>levofloxacin</w:t>
      </w:r>
      <w:r w:rsidR="002D27B2">
        <w:t xml:space="preserve"> and SXT </w:t>
      </w:r>
      <w:r w:rsidR="00683EF7">
        <w:t xml:space="preserve">were performed by </w:t>
      </w:r>
      <w:r>
        <w:t>automa</w:t>
      </w:r>
      <w:r w:rsidR="005A6F28">
        <w:t xml:space="preserve">ted </w:t>
      </w:r>
      <w:proofErr w:type="spellStart"/>
      <w:r w:rsidR="005A6F28">
        <w:t>microbroth</w:t>
      </w:r>
      <w:proofErr w:type="spellEnd"/>
      <w:r w:rsidR="005A6F28">
        <w:t xml:space="preserve"> dilution</w:t>
      </w:r>
      <w:r w:rsidR="007501CF">
        <w:t xml:space="preserve"> with</w:t>
      </w:r>
      <w:r w:rsidR="005A6F28">
        <w:t xml:space="preserve"> Vitek2</w:t>
      </w:r>
      <w:r w:rsidR="005A6F28" w:rsidRPr="0024634A">
        <w:rPr>
          <w:b/>
          <w:bCs/>
          <w:vertAlign w:val="superscript"/>
        </w:rPr>
        <w:t>®</w:t>
      </w:r>
      <w:r w:rsidR="00683EF7">
        <w:t>.</w:t>
      </w:r>
      <w:r w:rsidRPr="00AB0202">
        <w:t xml:space="preserve"> </w:t>
      </w:r>
      <w:r w:rsidR="00683EF7">
        <w:t>A</w:t>
      </w:r>
      <w:r>
        <w:t>ntimicrobial sensitivities were reported and interpreted according to</w:t>
      </w:r>
      <w:r w:rsidR="0072354F">
        <w:t xml:space="preserve"> the</w:t>
      </w:r>
      <w:r>
        <w:t xml:space="preserve"> </w:t>
      </w:r>
      <w:r w:rsidR="0072354F">
        <w:t xml:space="preserve">2015 </w:t>
      </w:r>
      <w:r w:rsidR="008809F5">
        <w:t xml:space="preserve">CLSI </w:t>
      </w:r>
      <w:r>
        <w:t xml:space="preserve">guidelines for </w:t>
      </w:r>
      <w:r>
        <w:rPr>
          <w:i/>
        </w:rPr>
        <w:t>S. maltophilia</w:t>
      </w:r>
      <w:r w:rsidR="00F60A01">
        <w:rPr>
          <w:i/>
        </w:rPr>
        <w:t xml:space="preserve"> </w:t>
      </w:r>
      <w:r>
        <w:fldChar w:fldCharType="begin" w:fldLock="1"/>
      </w:r>
      <w:r w:rsidR="003868F1">
        <w:instrText>ADDIN CSL_CITATION { "citationItems" : [ { "id" : "ITEM-1", "itemData" : { "author" : [ { "dropping-particle" : "", "family" : "Clinical and Laboratory Standards Institute", "given" : "", "non-dropping-particle" : "", "parse-names" : false, "suffix" : "" } ], "id" : "ITEM-1", "issued" : { "date-parts" : [ [ "2015" ] ] }, "publisher" : "Clinical and Laboratory Standards Institute", "publisher-place" : "Wayne, PA", "title" : "Performance standards for antimicrobial susceptibility testing; twenty-fifth informational supplement M100-S25.", "type" : "book" }, "uris" : [ "http://www.mendeley.com/documents/?uuid=7edae0cb-2619-473e-abeb-5548ad1fd30e" ] } ], "mendeley" : { "formattedCitation" : "(6)", "plainTextFormattedCitation" : "(6)", "previouslyFormattedCitation" : "(6)" }, "properties" : { "noteIndex" : 0 }, "schema" : "https://github.com/citation-style-language/schema/raw/master/csl-citation.json" }</w:instrText>
      </w:r>
      <w:r>
        <w:fldChar w:fldCharType="separate"/>
      </w:r>
      <w:r w:rsidR="006A0ADD" w:rsidRPr="006A0ADD">
        <w:rPr>
          <w:noProof/>
        </w:rPr>
        <w:t>(6)</w:t>
      </w:r>
      <w:r>
        <w:fldChar w:fldCharType="end"/>
      </w:r>
      <w:r>
        <w:rPr>
          <w:i/>
        </w:rPr>
        <w:t>.</w:t>
      </w:r>
      <w:r>
        <w:t xml:space="preserve"> I</w:t>
      </w:r>
      <w:r w:rsidRPr="00AB0202">
        <w:t>solates were</w:t>
      </w:r>
      <w:r>
        <w:t xml:space="preserve"> then</w:t>
      </w:r>
      <w:r w:rsidRPr="00AB0202">
        <w:t xml:space="preserve"> stocked and frozen </w:t>
      </w:r>
      <w:r>
        <w:t>at</w:t>
      </w:r>
      <w:r w:rsidRPr="00AB0202">
        <w:t xml:space="preserve"> -80°C.</w:t>
      </w:r>
      <w:r w:rsidR="002D27B2">
        <w:t xml:space="preserve"> </w:t>
      </w:r>
      <w:r w:rsidR="00D075A1">
        <w:t>Levofloxacin and SXT</w:t>
      </w:r>
      <w:r w:rsidR="002D27B2">
        <w:t xml:space="preserve"> susceptibilities</w:t>
      </w:r>
      <w:r>
        <w:t xml:space="preserve"> </w:t>
      </w:r>
      <w:r w:rsidR="00D42562">
        <w:t xml:space="preserve">for all isolates in this study </w:t>
      </w:r>
      <w:r>
        <w:t xml:space="preserve">were later confirmed by </w:t>
      </w:r>
      <w:proofErr w:type="spellStart"/>
      <w:r>
        <w:t>Etest</w:t>
      </w:r>
      <w:proofErr w:type="spellEnd"/>
      <w:r>
        <w:t xml:space="preserve"> (</w:t>
      </w:r>
      <w:proofErr w:type="spellStart"/>
      <w:r w:rsidR="007C1AE3">
        <w:t>b</w:t>
      </w:r>
      <w:r>
        <w:t>io</w:t>
      </w:r>
      <w:r w:rsidR="007C1AE3">
        <w:t>M</w:t>
      </w:r>
      <w:r w:rsidR="00A64FE5">
        <w:t>éri</w:t>
      </w:r>
      <w:r w:rsidR="00DF3CE9">
        <w:t>e</w:t>
      </w:r>
      <w:r w:rsidR="00A64FE5">
        <w:t>ux</w:t>
      </w:r>
      <w:proofErr w:type="spellEnd"/>
      <w:r>
        <w:t>)</w:t>
      </w:r>
      <w:r w:rsidR="00D42562">
        <w:t xml:space="preserve"> at 24 hours</w:t>
      </w:r>
      <w:r>
        <w:t>.</w:t>
      </w:r>
      <w:r w:rsidRPr="00AB0202">
        <w:t xml:space="preserve"> </w:t>
      </w:r>
      <w:r w:rsidR="00825039">
        <w:t>To</w:t>
      </w:r>
      <w:r w:rsidR="00825039" w:rsidRPr="00AB0202">
        <w:t xml:space="preserve"> prepar</w:t>
      </w:r>
      <w:r w:rsidR="00825039">
        <w:t>e</w:t>
      </w:r>
      <w:r w:rsidR="00825039" w:rsidRPr="00AB0202">
        <w:t xml:space="preserve"> for sequencing, isolates were grown from single colonies in </w:t>
      </w:r>
      <w:proofErr w:type="spellStart"/>
      <w:r w:rsidR="00825039" w:rsidRPr="00AB0202">
        <w:t>tryptic</w:t>
      </w:r>
      <w:proofErr w:type="spellEnd"/>
      <w:r w:rsidR="00825039" w:rsidRPr="00AB0202">
        <w:t xml:space="preserve"> soy broth, and DNA extraction was per</w:t>
      </w:r>
      <w:r w:rsidR="00825039">
        <w:t>formed as previously described</w:t>
      </w:r>
      <w:r w:rsidR="00F60A01">
        <w:t xml:space="preserve"> </w:t>
      </w:r>
      <w:r w:rsidR="00825039">
        <w:fldChar w:fldCharType="begin" w:fldLock="1"/>
      </w:r>
      <w:r w:rsidR="003868F1">
        <w:instrText>ADDIN CSL_CITATION { "citationItems" : [ { "id" : "ITEM-1", "itemData" : { "DOI" : "10.1111/ajt.12897", "ISSN" : "1600-6143", "PMID" : "25250641", "abstract" : "Donor-derived bacterial infection is a recognized complication of solid organ transplantation (SOT). The present report describes the clinical details and successful outcome in a liver transplant recipient despite transmission of methicillin-resistant Staphylococcus aureus (MRSA) from a deceased donor with MRSA endocarditis and bacteremia. We further describe whole genome sequencing (WGS) and complete de novo assembly of the donor and recipient MRSA isolate genomes, which confirms that both isolates are genetically 100% identical. We propose that similar application of WGS techniques to future investigations of donor bacterial transmission would strengthen the definition of proven bacterial transmission in SOT, particularly in the presence of highly clonal bacteria such as MRSA. WGS will further improve our understanding of the epidemiology of bacterial transmission in SOT and the risk of adverse patient outcomes when it occurs.", "author" : [ { "dropping-particle" : "", "family" : "Altman", "given" : "D R", "non-dropping-particle" : "", "parse-names" : false, "suffix" : "" }, { "dropping-particle" : "", "family" : "Sebra", "given" : "R", "non-dropping-particle" : "", "parse-names" : false, "suffix" : "" }, { "dropping-particle" : "", "family" : "Hand", "given" : "J", "non-dropping-particle" : "", "parse-names" : false, "suffix" : "" }, { "dropping-particle" : "", "family" : "Attie", "given" : "O", "non-dropping-particle" : "", "parse-names" : false, "suffix" : "" }, { "dropping-particle" : "", "family" : "Deikus", "given" : "G", "non-dropping-particle" : "", "parse-names" : false, "suffix" : "" }, { "dropping-particle" : "", "family" : "Carpini", "given" : "K W D", "non-dropping-particle" : "", "parse-names" : false, "suffix" : "" }, { "dropping-particle" : "", "family" : "Patel", "given" : "G", "non-dropping-particle" : "", "parse-names" : false, "suffix" : "" }, { "dropping-particle" : "", "family" : "Rana", "given" : "M", "non-dropping-particle" : "", "parse-names" : false, "suffix" : "" }, { "dropping-particle" : "", "family" : "Arvelakis", "given" : "A", "non-dropping-particle" : "", "parse-names" : false, "suffix" : "" }, { "dropping-particle" : "", "family" : "Grewal", "given" : "P", "non-dropping-particle" : "", "parse-names" : false, "suffix" : "" }, { "dropping-particle" : "", "family" : "Dutta", "given" : "J", "non-dropping-particle" : "", "parse-names" : false, "suffix" : "" }, { "dropping-particle" : "", "family" : "Rose", "given" : "H", "non-dropping-particle" : "", "parse-names" : false, "suffix" : "" }, { "dropping-particle" : "", "family" : "Shopsin", "given" : "B", "non-dropping-particle" : "", "parse-names" : false, "suffix" : "" }, { "dropping-particle" : "", "family" : "Daefler", "given" : "S", "non-dropping-particle" : "", "parse-names" : false, "suffix" : "" }, { "dropping-particle" : "", "family" : "Schadt", "given" : "E E", "non-dropping-particle" : "", "parse-names" : false, "suffix" : "" }, { "dropping-particle" : "", "family" : "Kasarskis", "given" : "Andrew", "non-dropping-particle" : "", "parse-names" : false, "suffix" : "" }, { "dropping-particle" : "", "family" : "Bakel", "given" : "H", "non-dropping-particle" : "van", "parse-names" : false, "suffix" : "" }, { "dropping-particle" : "", "family" : "Bashir", "given" : "Ali", "non-dropping-particle" : "", "parse-names" : false, "suffix" : "" }, { "dropping-particle" : "", "family" : "Huprikar", "given" : "S", "non-dropping-particle" : "", "parse-names" : false, "suffix" : "" } ], "container-title" : "American journal of transplantation : official journal of the American Society of Transplantation and the American Society of Transplant Surgeons", "id" : "ITEM-1", "issue" : "11", "issued" : { "date-parts" : [ [ "2014", "11" ] ] }, "page" : "2640-4", "title" : "Transmission of Methicillin-Resistant Staphylococcus aureus via Deceased Donor Liver Transplantation Confirmed by Whole Genome Sequencing.", "type" : "article-journal", "volume" : "14" }, "uris" : [ "http://www.mendeley.com/documents/?uuid=3473b828-d18e-4865-b3a0-3115a45e7359" ] } ], "mendeley" : { "formattedCitation" : "(7)", "plainTextFormattedCitation" : "(7)", "previouslyFormattedCitation" : "(7)" }, "properties" : { "noteIndex" : 0 }, "schema" : "https://github.com/citation-style-language/schema/raw/master/csl-citation.json" }</w:instrText>
      </w:r>
      <w:r w:rsidR="00825039">
        <w:fldChar w:fldCharType="separate"/>
      </w:r>
      <w:r w:rsidR="006A0ADD" w:rsidRPr="006A0ADD">
        <w:rPr>
          <w:noProof/>
        </w:rPr>
        <w:t>(7)</w:t>
      </w:r>
      <w:r w:rsidR="00825039">
        <w:fldChar w:fldCharType="end"/>
      </w:r>
      <w:r w:rsidR="00825039">
        <w:t>.</w:t>
      </w:r>
      <w:r w:rsidR="00615A74" w:rsidRPr="00615A74">
        <w:t xml:space="preserve"> </w:t>
      </w:r>
    </w:p>
    <w:p w14:paraId="3760616E" w14:textId="7EB608FD" w:rsidR="0034713E" w:rsidRDefault="000F05A9" w:rsidP="0034713E">
      <w:pPr>
        <w:pStyle w:val="Normal2"/>
        <w:ind w:firstLine="720"/>
      </w:pPr>
      <w:r>
        <w:t xml:space="preserve">Sequencing was performed on the </w:t>
      </w:r>
      <w:proofErr w:type="spellStart"/>
      <w:r>
        <w:t>PacBio</w:t>
      </w:r>
      <w:proofErr w:type="spellEnd"/>
      <w:r>
        <w:t xml:space="preserve"> RSII platform (Pacific Biosciences, Menlo Park, CA)</w:t>
      </w:r>
      <w:r w:rsidR="00C32524">
        <w:t xml:space="preserve"> and reads were assembled </w:t>
      </w:r>
      <w:r w:rsidR="00C32524">
        <w:rPr>
          <w:i/>
        </w:rPr>
        <w:t xml:space="preserve">de </w:t>
      </w:r>
      <w:r w:rsidR="00C32524" w:rsidRPr="00C32524">
        <w:t>novo</w:t>
      </w:r>
      <w:r w:rsidR="00C32524">
        <w:t xml:space="preserve"> using </w:t>
      </w:r>
      <w:proofErr w:type="spellStart"/>
      <w:r w:rsidR="00C32524">
        <w:t>PacBio’s</w:t>
      </w:r>
      <w:proofErr w:type="spellEnd"/>
      <w:r w:rsidR="00C32524">
        <w:t xml:space="preserve"> Hierarchical Genome Assembly Process (version 3)</w:t>
      </w:r>
      <w:r w:rsidR="00F60A01">
        <w:t xml:space="preserve"> </w:t>
      </w:r>
      <w:r w:rsidR="00F72F83">
        <w:fldChar w:fldCharType="begin" w:fldLock="1"/>
      </w:r>
      <w:r w:rsidR="003868F1">
        <w:instrText>ADDIN CSL_CITATION { "citationItems" : [ { "id" : "ITEM-1", "itemData" : { "DOI" : "10.1038/nmeth.2474", "ISSN" : "1548-7105", "PMID" : "23644548", "abstract" : "We present a hierarchical genome-assembly process (HGAP) for high-quality de novo microbial genome assemblies using only a single, long-insert shotgun DNA library in conjunction with Single Molecule, Real-Time (SMRT) DNA sequencing. Our method uses the longest reads as seeds to recruit all other reads for construction of highly accurate preassembled reads through a directed acyclic graph-based consensus procedure, which we follow with assembly using off-the-shelf long-read assemblers. In contrast to hybrid approaches, HGAP does not require highly accurate raw reads for error correction. We demonstrate efficient genome assembly for several microorganisms using as few as three SMRT Cell zero-mode waveguide arrays of sequencing and for BACs using just one SMRT Cell. Long repeat regions can be successfully resolved with this workflow. We also describe a consensus algorithm that incorporates SMRT sequencing primary quality values to produce de novo genome sequence exceeding 99.999% accuracy.", "author" : [ { "dropping-particle" : "", "family" : "Chin", "given" : "Chen-Shan", "non-dropping-particle" : "", "parse-names" : false, "suffix" : "" }, { "dropping-particle" : "", "family" : "Alexander", "given" : "David H", "non-dropping-particle" : "", "parse-names" : false, "suffix" : "" }, { "dropping-particle" : "", "family" : "Marks", "given" : "Patrick", "non-dropping-particle" : "", "parse-names" : false, "suffix" : "" }, { "dropping-particle" : "", "family" : "Klammer", "given" : "Aaron A", "non-dropping-particle" : "", "parse-names" : false, "suffix" : "" }, { "dropping-particle" : "", "family" : "Drake", "given" : "James", "non-dropping-particle" : "", "parse-names" : false, "suffix" : "" }, { "dropping-particle" : "", "family" : "Heiner", "given" : "Cheryl", "non-dropping-particle" : "", "parse-names" : false, "suffix" : "" }, { "dropping-particle" : "", "family" : "Clum", "given" : "Alicia", "non-dropping-particle" : "", "parse-names" : false, "suffix" : "" }, { "dropping-particle" : "", "family" : "Copeland", "given" : "Alex", "non-dropping-particle" : "", "parse-names" : false, "suffix" : "" }, { "dropping-particle" : "", "family" : "Huddleston", "given" : "John", "non-dropping-particle" : "", "parse-names" : false, "suffix" : "" }, { "dropping-particle" : "", "family" : "Eichler", "given" : "Evan E", "non-dropping-particle" : "", "parse-names" : false, "suffix" : "" }, { "dropping-particle" : "", "family" : "Turner", "given" : "Stephen W", "non-dropping-particle" : "", "parse-names" : false, "suffix" : "" }, { "dropping-particle" : "", "family" : "Korlach", "given" : "Jonas", "non-dropping-particle" : "", "parse-names" : false, "suffix" : "" } ], "container-title" : "Nature methods", "id" : "ITEM-1", "issue" : "6", "issued" : { "date-parts" : [ [ "2013", "6" ] ] }, "page" : "563-9", "title" : "Nonhybrid, finished microbial genome assemblies from long-read SMRT sequencing data.", "type" : "article-journal", "volume" : "10" }, "uris" : [ "http://www.mendeley.com/documents/?uuid=8da1dc4a-3d7c-4015-b342-005d439ea5ed" ] } ], "mendeley" : { "formattedCitation" : "(8)", "plainTextFormattedCitation" : "(8)", "previouslyFormattedCitation" : "(8)" }, "properties" : { "noteIndex" : 0 }, "schema" : "https://github.com/citation-style-language/schema/raw/master/csl-citation.json" }</w:instrText>
      </w:r>
      <w:r w:rsidR="00F72F83">
        <w:fldChar w:fldCharType="separate"/>
      </w:r>
      <w:r w:rsidR="006A0ADD" w:rsidRPr="006A0ADD">
        <w:rPr>
          <w:noProof/>
        </w:rPr>
        <w:t>(8)</w:t>
      </w:r>
      <w:r w:rsidR="00F72F83">
        <w:fldChar w:fldCharType="end"/>
      </w:r>
      <w:r w:rsidR="00C32524">
        <w:t xml:space="preserve">. </w:t>
      </w:r>
      <w:r w:rsidR="00F72F83">
        <w:t>Pairwise comparison</w:t>
      </w:r>
      <w:r w:rsidR="00637EB3">
        <w:t xml:space="preserve"> and </w:t>
      </w:r>
      <w:r w:rsidR="007661F8">
        <w:t>variant</w:t>
      </w:r>
      <w:r w:rsidR="00637EB3">
        <w:t xml:space="preserve"> calling</w:t>
      </w:r>
      <w:r w:rsidR="00F72F83">
        <w:t xml:space="preserve"> </w:t>
      </w:r>
      <w:r w:rsidR="00F8448F">
        <w:t>were</w:t>
      </w:r>
      <w:r w:rsidR="00F72F83">
        <w:t xml:space="preserve"> performed with </w:t>
      </w:r>
      <w:proofErr w:type="spellStart"/>
      <w:r w:rsidR="00F72F83">
        <w:t>MUMmer</w:t>
      </w:r>
      <w:proofErr w:type="spellEnd"/>
      <w:r w:rsidR="00F72F83">
        <w:t xml:space="preserve"> 3.23</w:t>
      </w:r>
      <w:r w:rsidR="00F60A01">
        <w:t xml:space="preserve"> </w:t>
      </w:r>
      <w:r w:rsidR="00637EB3">
        <w:fldChar w:fldCharType="begin" w:fldLock="1"/>
      </w:r>
      <w:r w:rsidR="003868F1">
        <w:instrText>ADDIN CSL_CITATION { "citationItems" : [ { "id" : "ITEM-1", "itemData" : { "DOI" : "10.1002/0471250953.bi1003s00", "ISSN" : "1934-340X", "PMID" : "18428693", "abstract" : "The MUMmer sequence alignment package is a suite of computer programs designed to detect regions of homology in long biological sequences. Version 2.1 makes several improvements to the package, including: increased speed and reduced memory requirements; the ability to handle both protein and DNA sequences; the ability to handle multiple sequence fragments; and new algorithms for clustering together basic matches. The system is particularly efficient at comparing highly similar sequences, such as alternative versions of fragment assemblies or closely related strains of the same bacterium.", "author" : [ { "dropping-particle" : "", "family" : "Delcher", "given" : "Arthur L", "non-dropping-particle" : "", "parse-names" : false, "suffix" : "" }, { "dropping-particle" : "", "family" : "Salzberg", "given" : "Steven L", "non-dropping-particle" : "", "parse-names" : false, "suffix" : "" }, { "dropping-particle" : "", "family" : "Phillippy", "given" : "Adam M", "non-dropping-particle" : "", "parse-names" : false, "suffix" : "" } ], "container-title" : "Current protocols in bioinformatics / editoral board, Andreas D. Baxevanis ... [et al.]", "id" : "ITEM-1", "issued" : { "date-parts" : [ [ "2003", "2" ] ] }, "page" : "Unit 10.3", "title" : "Using MUMmer to identify similar regions in large sequence sets.", "type" : "article-journal", "volume" : "Chapter 10" }, "uris" : [ "http://www.mendeley.com/documents/?uuid=f2563a6b-42e7-4d0d-b61d-ef61abc9e9f3" ] } ], "mendeley" : { "formattedCitation" : "(9)", "plainTextFormattedCitation" : "(9)", "previouslyFormattedCitation" : "(9)" }, "properties" : { "noteIndex" : 0 }, "schema" : "https://github.com/citation-style-language/schema/raw/master/csl-citation.json" }</w:instrText>
      </w:r>
      <w:r w:rsidR="00637EB3">
        <w:fldChar w:fldCharType="separate"/>
      </w:r>
      <w:r w:rsidR="006A0ADD" w:rsidRPr="006A0ADD">
        <w:rPr>
          <w:noProof/>
        </w:rPr>
        <w:t>(9)</w:t>
      </w:r>
      <w:r w:rsidR="00637EB3">
        <w:fldChar w:fldCharType="end"/>
      </w:r>
      <w:r w:rsidR="004A7AA6">
        <w:t>.</w:t>
      </w:r>
      <w:r w:rsidR="009751FD">
        <w:t xml:space="preserve"> </w:t>
      </w:r>
      <w:proofErr w:type="spellStart"/>
      <w:r w:rsidR="001F58A1">
        <w:t>Mugsy</w:t>
      </w:r>
      <w:proofErr w:type="spellEnd"/>
      <w:r w:rsidR="001F58A1">
        <w:t xml:space="preserve"> 2.2</w:t>
      </w:r>
      <w:r w:rsidR="00F60A01">
        <w:t xml:space="preserve"> </w:t>
      </w:r>
      <w:r w:rsidR="001F58A1">
        <w:fldChar w:fldCharType="begin" w:fldLock="1"/>
      </w:r>
      <w:r w:rsidR="003868F1">
        <w:instrText>ADDIN CSL_CITATION { "citationItems" : [ { "id" : "ITEM-1", "itemData" : { "DOI" : "10.1093/bioinformatics/btq665", "ISSN" : "1367-4811", "PMID" : "21148543", "abstract" : "MOTIVATION: The relative ease and low cost of current generation sequencing technologies has led to a dramatic increase in the number of sequenced genomes for species across the tree of life. This increasing volume of data requires tools that can quickly compare multiple whole-genome sequences, millions of base pairs in length, to aid in the study of populations, pan-genomes, and genome evolution.\n\nRESULTS: We present a new multiple alignment tool for whole genomes named Mugsy. Mugsy is computationally efficient and can align 31 Streptococcus pneumoniae genomes in less than 2 hours producing alignments that compare favorably to other tools. Mugsy is also the fastest program evaluated for the multiple alignment of assembled human chromosome sequences from four individuals. Mugsy does not require a reference sequence, can align mixtures of assembled draft and completed genome data, and is robust in identifying a rich complement of genetic variation including duplications, rearrangements, and large-scale gain and loss of sequence.\n\nAVAILABILITY: Mugsy is free, open-source software available from http://mugsy.sf.net.", "author" : [ { "dropping-particle" : "V", "family" : "Angiuoli", "given" : "Samuel", "non-dropping-particle" : "", "parse-names" : false, "suffix" : "" }, { "dropping-particle" : "", "family" : "Salzberg", "given" : "Steven L", "non-dropping-particle" : "", "parse-names" : false, "suffix" : "" } ], "container-title" : "Bioinformatics (Oxford, England)", "id" : "ITEM-1", "issue" : "3", "issued" : { "date-parts" : [ [ "2011", "2", "1" ] ] }, "page" : "334-42", "title" : "Mugsy: fast multiple alignment of closely related whole genomes.", "type" : "article-journal", "volume" : "27" }, "uris" : [ "http://www.mendeley.com/documents/?uuid=45cb1985-07e0-41cb-8396-93b48f9b5e96" ] } ], "mendeley" : { "formattedCitation" : "(10)", "plainTextFormattedCitation" : "(10)", "previouslyFormattedCitation" : "(10)" }, "properties" : { "noteIndex" : 0 }, "schema" : "https://github.com/citation-style-language/schema/raw/master/csl-citation.json" }</w:instrText>
      </w:r>
      <w:r w:rsidR="001F58A1">
        <w:fldChar w:fldCharType="separate"/>
      </w:r>
      <w:r w:rsidR="006A0ADD" w:rsidRPr="006A0ADD">
        <w:rPr>
          <w:noProof/>
        </w:rPr>
        <w:t>(10)</w:t>
      </w:r>
      <w:r w:rsidR="001F58A1">
        <w:fldChar w:fldCharType="end"/>
      </w:r>
      <w:r w:rsidR="001F58A1">
        <w:t xml:space="preserve"> was used to align whole genome</w:t>
      </w:r>
      <w:r w:rsidR="002472A4">
        <w:t xml:space="preserve"> </w:t>
      </w:r>
      <w:r w:rsidR="001F58A1">
        <w:t>s</w:t>
      </w:r>
      <w:r w:rsidR="002472A4">
        <w:t>equences</w:t>
      </w:r>
      <w:r w:rsidR="001F58A1">
        <w:t xml:space="preserve"> </w:t>
      </w:r>
      <w:r w:rsidR="00815AAB">
        <w:t xml:space="preserve">for phylogenetic reconstruction </w:t>
      </w:r>
      <w:r w:rsidR="0090197F">
        <w:t>with</w:t>
      </w:r>
      <w:r w:rsidR="007438A8">
        <w:t xml:space="preserve"> RAxML-8.0.2</w:t>
      </w:r>
      <w:r w:rsidR="00F60A01">
        <w:t xml:space="preserve"> </w:t>
      </w:r>
      <w:r w:rsidR="007438A8">
        <w:fldChar w:fldCharType="begin" w:fldLock="1"/>
      </w:r>
      <w:r w:rsidR="003868F1">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"http://www.mendeley.com/documents/?uuid=c66a372b-8019-4c53-ba41-e2c0fbbca866" ] } ], "mendeley" : { "formattedCitation" : "(11)", "plainTextFormattedCitation" : "(11)", "previouslyFormattedCitation" : "(11)" }, "properties" : { "noteIndex" : 0 }, "schema" : "https://github.com/citation-style-language/schema/raw/master/csl-citation.json" }</w:instrText>
      </w:r>
      <w:r w:rsidR="007438A8">
        <w:fldChar w:fldCharType="separate"/>
      </w:r>
      <w:r w:rsidR="006A0ADD" w:rsidRPr="006A0ADD">
        <w:rPr>
          <w:noProof/>
        </w:rPr>
        <w:t>(11)</w:t>
      </w:r>
      <w:r w:rsidR="007438A8">
        <w:fldChar w:fldCharType="end"/>
      </w:r>
      <w:r w:rsidR="00815AAB">
        <w:t>,</w:t>
      </w:r>
      <w:r w:rsidR="00F72F83">
        <w:t xml:space="preserve"> </w:t>
      </w:r>
      <w:r w:rsidR="00815AAB">
        <w:t>and rearrangements were visualized with Mauve 2.4.0</w:t>
      </w:r>
      <w:r w:rsidR="00F60A01">
        <w:t xml:space="preserve"> </w:t>
      </w:r>
      <w:r w:rsidR="00815AAB">
        <w:fldChar w:fldCharType="begin" w:fldLock="1"/>
      </w:r>
      <w:r w:rsidR="003868F1">
        <w:instrText>ADDIN CSL_CITATION { "citationItems" : [ { "id" : "ITEM-1", "itemData" : { "DOI" : "10.1101/gr.2289704", "ISSN" : "1088-9051", "PMID" : "15231754", "abstract" : "As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 "author" : [ { "dropping-particle" : "", "family" : "Darling", "given" : "Aaron C E", "non-dropping-particle" : "", "parse-names" : false, "suffix" : "" }, { "dropping-particle" : "", "family" : "Mau", "given" : "Bob", "non-dropping-particle" : "", "parse-names" : false, "suffix" : "" }, { "dropping-particle" : "", "family" : "Blattner", "given" : "Frederick R", "non-dropping-particle" : "", "parse-names" : false, "suffix" : "" }, { "dropping-particle" : "", "family" : "Perna", "given" : "Nicole T", "non-dropping-particle" : "", "parse-names" : false, "suffix" : "" } ], "container-title" : "Genome research", "id" : "ITEM-1", "issue" : "7", "issued" : { "date-parts" : [ [ "2004", "7" ] ] }, "page" : "1394-403", "title" : "Mauve: multiple alignment of conserved genomic sequence with rearrangements.", "type" : "article-journal", "volume" : "14" }, "uris" : [ "http://www.mendeley.com/documents/?uuid=9bc0092b-dfd0-41f5-ad07-df6d692b242b" ] } ], "mendeley" : { "formattedCitation" : "(12)", "plainTextFormattedCitation" : "(12)", "previouslyFormattedCitation" : "(12)" }, "properties" : { "noteIndex" : 0 }, "schema" : "https://github.com/citation-style-language/schema/raw/master/csl-citation.json" }</w:instrText>
      </w:r>
      <w:r w:rsidR="00815AAB">
        <w:fldChar w:fldCharType="separate"/>
      </w:r>
      <w:r w:rsidR="006A0ADD" w:rsidRPr="006A0ADD">
        <w:rPr>
          <w:noProof/>
        </w:rPr>
        <w:t>(12)</w:t>
      </w:r>
      <w:r w:rsidR="00815AAB">
        <w:fldChar w:fldCharType="end"/>
      </w:r>
      <w:r w:rsidR="00CD124B">
        <w:t>.</w:t>
      </w:r>
      <w:r w:rsidR="00815AAB">
        <w:t xml:space="preserve"> </w:t>
      </w:r>
      <w:r w:rsidR="00615A74" w:rsidRPr="00C32524">
        <w:t>Ad</w:t>
      </w:r>
      <w:bookmarkStart w:id="5" w:name="h.ljwy3e86yqts" w:colFirst="0" w:colLast="0"/>
      <w:bookmarkEnd w:id="5"/>
      <w:r w:rsidR="00615A74" w:rsidRPr="00C32524">
        <w:t>ditional</w:t>
      </w:r>
      <w:r w:rsidR="00FA4745">
        <w:t xml:space="preserve"> details, including </w:t>
      </w:r>
      <w:r w:rsidR="0052129A">
        <w:t xml:space="preserve">Sanger validation </w:t>
      </w:r>
      <w:r w:rsidR="00696CB6">
        <w:t>methods</w:t>
      </w:r>
      <w:r w:rsidR="0052129A">
        <w:t xml:space="preserve"> and </w:t>
      </w:r>
      <w:r w:rsidR="00D319F9">
        <w:t xml:space="preserve">sequence </w:t>
      </w:r>
      <w:r w:rsidR="00FA4745">
        <w:t xml:space="preserve">accession numbers, </w:t>
      </w:r>
      <w:r w:rsidR="00615A74">
        <w:t>are in Supplementary Methods.</w:t>
      </w:r>
      <w:bookmarkStart w:id="6" w:name="h.ehken9tz4lp" w:colFirst="0" w:colLast="0"/>
      <w:bookmarkStart w:id="7" w:name="h.45y03bim9sis" w:colFirst="0" w:colLast="0"/>
      <w:bookmarkStart w:id="8" w:name="h.hlrvjmmej1mb" w:colFirst="0" w:colLast="0"/>
      <w:bookmarkStart w:id="9" w:name="h.1obot87wf3r8" w:colFirst="0" w:colLast="0"/>
      <w:bookmarkEnd w:id="6"/>
      <w:bookmarkEnd w:id="7"/>
      <w:bookmarkEnd w:id="8"/>
      <w:bookmarkEnd w:id="9"/>
    </w:p>
    <w:p w14:paraId="162F5144" w14:textId="77777777" w:rsidR="0034713E" w:rsidRDefault="00E26522" w:rsidP="0034713E">
      <w:pPr>
        <w:pStyle w:val="Normal2"/>
        <w:ind w:firstLine="720"/>
      </w:pPr>
      <w:r>
        <w:t xml:space="preserve">Two </w:t>
      </w:r>
      <w:r w:rsidR="00CF6CCB">
        <w:t xml:space="preserve">complete </w:t>
      </w:r>
      <w:r>
        <w:t>whole</w:t>
      </w:r>
      <w:r w:rsidR="00696E5D">
        <w:t xml:space="preserve"> </w:t>
      </w:r>
      <w:r w:rsidR="00A21D41">
        <w:t xml:space="preserve">genome sequences </w:t>
      </w:r>
      <w:r>
        <w:t>were derived</w:t>
      </w:r>
      <w:r w:rsidR="00BD76E6">
        <w:t xml:space="preserve"> from</w:t>
      </w:r>
      <w:r w:rsidR="004E3207">
        <w:t xml:space="preserve"> Patient 1’s </w:t>
      </w:r>
      <w:r>
        <w:t xml:space="preserve">isolates </w:t>
      </w:r>
      <w:r w:rsidR="00BD76E6">
        <w:t xml:space="preserve">before and after the change in </w:t>
      </w:r>
      <w:r w:rsidR="005D1D31">
        <w:t xml:space="preserve">levofloxacin </w:t>
      </w:r>
      <w:r w:rsidR="00BD76E6">
        <w:t>MIC</w:t>
      </w:r>
      <w:r w:rsidR="00D42562">
        <w:t xml:space="preserve"> and </w:t>
      </w:r>
      <w:r w:rsidR="00A21D41">
        <w:t xml:space="preserve">compared </w:t>
      </w:r>
      <w:r>
        <w:t>to</w:t>
      </w:r>
      <w:r w:rsidR="00A21D41">
        <w:t xml:space="preserve"> </w:t>
      </w:r>
      <w:r w:rsidR="00D42562">
        <w:t xml:space="preserve">whole genome sequences of </w:t>
      </w:r>
      <w:r w:rsidR="00A21D41">
        <w:t xml:space="preserve">five </w:t>
      </w:r>
      <w:r w:rsidR="00D42562">
        <w:t xml:space="preserve">control </w:t>
      </w:r>
      <w:r w:rsidR="00A21D41">
        <w:rPr>
          <w:i/>
        </w:rPr>
        <w:t>S. maltophilia</w:t>
      </w:r>
      <w:r w:rsidR="00A21D41">
        <w:t xml:space="preserve"> isolates</w:t>
      </w:r>
      <w:r w:rsidR="00A06BE4">
        <w:t xml:space="preserve"> (Patients 2-6)</w:t>
      </w:r>
      <w:r w:rsidR="00B92436">
        <w:t xml:space="preserve">. </w:t>
      </w:r>
      <w:r w:rsidR="00A24A32">
        <w:t>All s</w:t>
      </w:r>
      <w:r w:rsidR="00A21D41">
        <w:t xml:space="preserve">equences were </w:t>
      </w:r>
      <w:r>
        <w:rPr>
          <w:i/>
        </w:rPr>
        <w:t>de novo</w:t>
      </w:r>
      <w:r>
        <w:t xml:space="preserve"> </w:t>
      </w:r>
      <w:r w:rsidR="00A21D41">
        <w:t xml:space="preserve">assembled, </w:t>
      </w:r>
      <w:r w:rsidR="008A12FC">
        <w:t xml:space="preserve">i.e., </w:t>
      </w:r>
      <w:r w:rsidR="00D47F0F">
        <w:t xml:space="preserve">without </w:t>
      </w:r>
      <w:r w:rsidR="0089029E">
        <w:t>regard to</w:t>
      </w:r>
      <w:r w:rsidR="00A21D41">
        <w:t xml:space="preserve"> reference assemblies.</w:t>
      </w:r>
      <w:r w:rsidR="00037EB7">
        <w:t xml:space="preserve"> </w:t>
      </w:r>
      <w:r w:rsidR="009F5FA7" w:rsidRPr="00970698">
        <w:t>Table 1</w:t>
      </w:r>
      <w:r w:rsidR="009F5FA7" w:rsidRPr="00A54E61">
        <w:rPr>
          <w:b/>
        </w:rPr>
        <w:t xml:space="preserve"> </w:t>
      </w:r>
      <w:r w:rsidR="009F5FA7">
        <w:t>summarizes the</w:t>
      </w:r>
      <w:r w:rsidR="003A4ABE">
        <w:t xml:space="preserve"> relative</w:t>
      </w:r>
      <w:r w:rsidR="009F5FA7">
        <w:t xml:space="preserve"> </w:t>
      </w:r>
      <w:r w:rsidR="00037EB7" w:rsidRPr="009F5FA7">
        <w:t>date</w:t>
      </w:r>
      <w:r w:rsidR="003A4ABE">
        <w:t>s</w:t>
      </w:r>
      <w:r w:rsidR="00037EB7">
        <w:t xml:space="preserve"> of collection</w:t>
      </w:r>
      <w:r w:rsidR="003A4ABE">
        <w:t xml:space="preserve">, </w:t>
      </w:r>
      <w:r w:rsidR="008313C8">
        <w:t xml:space="preserve">antimicrobial </w:t>
      </w:r>
      <w:r w:rsidR="00A21D41" w:rsidRPr="008313C8">
        <w:t>susceptibility</w:t>
      </w:r>
      <w:r w:rsidR="00A21D41">
        <w:t xml:space="preserve"> results</w:t>
      </w:r>
      <w:r w:rsidR="00037EB7">
        <w:t>, and assembly statistics</w:t>
      </w:r>
      <w:r w:rsidR="00A21D41">
        <w:t>.</w:t>
      </w:r>
      <w:bookmarkStart w:id="10" w:name="h.e93ia5eot1wg" w:colFirst="0" w:colLast="0"/>
      <w:bookmarkEnd w:id="10"/>
    </w:p>
    <w:p w14:paraId="4AAC929A" w14:textId="40096241" w:rsidR="00170B68" w:rsidRDefault="00170B68" w:rsidP="0034713E">
      <w:pPr>
        <w:pStyle w:val="Normal2"/>
        <w:ind w:firstLine="720"/>
      </w:pPr>
      <w:r>
        <w:t>Assembled genome</w:t>
      </w:r>
      <w:r w:rsidR="00A21D41">
        <w:t xml:space="preserve"> sequences for </w:t>
      </w:r>
      <w:r w:rsidR="002D566D">
        <w:t>Patient 1’s</w:t>
      </w:r>
      <w:r w:rsidR="00874777">
        <w:t xml:space="preserve"> </w:t>
      </w:r>
      <w:r>
        <w:t>isolates before</w:t>
      </w:r>
      <w:r w:rsidR="005D1D31">
        <w:t xml:space="preserve"> (ISMMS2)</w:t>
      </w:r>
      <w:r>
        <w:t xml:space="preserve"> and after</w:t>
      </w:r>
      <w:r w:rsidR="005D1D31">
        <w:t xml:space="preserve"> (ISMMS2R)</w:t>
      </w:r>
      <w:r>
        <w:t xml:space="preserve"> observation of levofloxacin resistance</w:t>
      </w:r>
      <w:r w:rsidR="00A21D41">
        <w:t xml:space="preserve"> were compared</w:t>
      </w:r>
      <w:r w:rsidR="00C61EB8">
        <w:t xml:space="preserve"> directly</w:t>
      </w:r>
      <w:r w:rsidR="00E255DB">
        <w:t xml:space="preserve"> and</w:t>
      </w:r>
      <w:r w:rsidR="00A21D41">
        <w:t xml:space="preserve"> were identical except for one</w:t>
      </w:r>
      <w:r w:rsidR="00B02EA6">
        <w:t xml:space="preserve"> single-</w:t>
      </w:r>
      <w:r w:rsidR="00696E5D">
        <w:t>nucleotide variant</w:t>
      </w:r>
      <w:r w:rsidR="00A21D41">
        <w:t xml:space="preserve"> </w:t>
      </w:r>
      <w:r w:rsidR="00696E5D">
        <w:t>(</w:t>
      </w:r>
      <w:r w:rsidR="00A21D41">
        <w:t>SN</w:t>
      </w:r>
      <w:r w:rsidR="00696E5D">
        <w:t>V)</w:t>
      </w:r>
      <w:r w:rsidR="00A21D41">
        <w:t xml:space="preserve"> and five one-base </w:t>
      </w:r>
      <w:proofErr w:type="spellStart"/>
      <w:r w:rsidR="00A21D41">
        <w:t>indels</w:t>
      </w:r>
      <w:proofErr w:type="spellEnd"/>
      <w:r w:rsidR="00A21D41" w:rsidRPr="00874777">
        <w:t>.</w:t>
      </w:r>
      <w:r>
        <w:t xml:space="preserve"> </w:t>
      </w:r>
      <w:r w:rsidR="00752BAF" w:rsidRPr="00970698">
        <w:t xml:space="preserve">Sanger sequencing confirmed the presence of the </w:t>
      </w:r>
      <w:r w:rsidR="007A05C8" w:rsidRPr="00970698">
        <w:t>SNV</w:t>
      </w:r>
      <w:r w:rsidR="00752BAF" w:rsidRPr="00970698">
        <w:t xml:space="preserve">, but identified the </w:t>
      </w:r>
      <w:proofErr w:type="spellStart"/>
      <w:r w:rsidR="00752BAF" w:rsidRPr="00970698">
        <w:t>indels</w:t>
      </w:r>
      <w:proofErr w:type="spellEnd"/>
      <w:r w:rsidR="00752BAF" w:rsidRPr="00970698">
        <w:t xml:space="preserve"> as </w:t>
      </w:r>
      <w:proofErr w:type="spellStart"/>
      <w:r w:rsidR="00752BAF" w:rsidRPr="00970698">
        <w:t>homopolymer</w:t>
      </w:r>
      <w:proofErr w:type="spellEnd"/>
      <w:r w:rsidR="00752BAF" w:rsidRPr="00970698">
        <w:t xml:space="preserve"> assembly errors.</w:t>
      </w:r>
      <w:r w:rsidR="00752BAF">
        <w:t xml:space="preserve"> </w:t>
      </w:r>
      <w:r w:rsidR="009B64E8">
        <w:t>C</w:t>
      </w:r>
      <w:r>
        <w:t>oding domain sequence</w:t>
      </w:r>
      <w:r w:rsidR="009B64E8">
        <w:t xml:space="preserve"> predictions</w:t>
      </w:r>
      <w:r>
        <w:t xml:space="preserve"> </w:t>
      </w:r>
      <w:r w:rsidR="009B64E8">
        <w:t>for</w:t>
      </w:r>
      <w:r>
        <w:t xml:space="preserve"> the surrounding locus</w:t>
      </w:r>
      <w:r w:rsidR="004F666E">
        <w:t xml:space="preserve"> (Figure 1A)</w:t>
      </w:r>
      <w:r w:rsidR="009B64E8">
        <w:t xml:space="preserve"> revealed that</w:t>
      </w:r>
      <w:r>
        <w:t xml:space="preserve"> the </w:t>
      </w:r>
      <w:r w:rsidR="00696E5D">
        <w:lastRenderedPageBreak/>
        <w:t xml:space="preserve">SNV </w:t>
      </w:r>
      <w:r>
        <w:t xml:space="preserve">was </w:t>
      </w:r>
      <w:r w:rsidR="00D01FA2">
        <w:t xml:space="preserve">inside </w:t>
      </w:r>
      <w:proofErr w:type="spellStart"/>
      <w:r w:rsidR="00A21D41">
        <w:rPr>
          <w:i/>
        </w:rPr>
        <w:t>smeT</w:t>
      </w:r>
      <w:proofErr w:type="spellEnd"/>
      <w:r w:rsidR="00A21D41">
        <w:t xml:space="preserve">, a </w:t>
      </w:r>
      <w:proofErr w:type="spellStart"/>
      <w:r w:rsidR="00A21D41">
        <w:rPr>
          <w:i/>
        </w:rPr>
        <w:t>tetR</w:t>
      </w:r>
      <w:proofErr w:type="spellEnd"/>
      <w:r w:rsidR="00A21D41">
        <w:t xml:space="preserve">-like repressor upstream of the structural operon for the </w:t>
      </w:r>
      <w:proofErr w:type="spellStart"/>
      <w:r w:rsidR="00A21D41">
        <w:rPr>
          <w:i/>
        </w:rPr>
        <w:t>smeDEF</w:t>
      </w:r>
      <w:proofErr w:type="spellEnd"/>
      <w:r>
        <w:t xml:space="preserve"> genes, which encode a multidrug efflux pump. </w:t>
      </w:r>
      <w:r w:rsidR="004F666E">
        <w:t xml:space="preserve">The SNV </w:t>
      </w:r>
      <w:r>
        <w:t>is</w:t>
      </w:r>
      <w:r w:rsidR="00A21D41">
        <w:t xml:space="preserve"> an A&gt;T substitution at position 497</w:t>
      </w:r>
      <w:r w:rsidR="004F666E">
        <w:t xml:space="preserve"> of </w:t>
      </w:r>
      <w:proofErr w:type="spellStart"/>
      <w:r w:rsidR="004F666E">
        <w:rPr>
          <w:i/>
        </w:rPr>
        <w:t>smeT</w:t>
      </w:r>
      <w:proofErr w:type="spellEnd"/>
      <w:r w:rsidR="00A21D41">
        <w:t xml:space="preserve"> causing</w:t>
      </w:r>
      <w:r>
        <w:t xml:space="preserve"> a </w:t>
      </w:r>
      <w:proofErr w:type="spellStart"/>
      <w:r>
        <w:t>nonsynonymous</w:t>
      </w:r>
      <w:proofErr w:type="spellEnd"/>
      <w:r w:rsidR="00B237C8" w:rsidRPr="00B237C8">
        <w:t xml:space="preserve"> </w:t>
      </w:r>
      <w:r w:rsidR="00B237C8">
        <w:t xml:space="preserve">Leu-166→Gln </w:t>
      </w:r>
      <w:r>
        <w:t>mutation</w:t>
      </w:r>
      <w:r w:rsidR="00D01FA2">
        <w:t>.</w:t>
      </w:r>
    </w:p>
    <w:p w14:paraId="7096E3CE" w14:textId="3DB39B9C" w:rsidR="002F5E8C" w:rsidRDefault="00170B68" w:rsidP="005E0E23">
      <w:pPr>
        <w:pStyle w:val="Normal2"/>
        <w:ind w:firstLine="720"/>
        <w:contextualSpacing/>
      </w:pPr>
      <w:r>
        <w:t xml:space="preserve">The same </w:t>
      </w:r>
      <w:proofErr w:type="spellStart"/>
      <w:r>
        <w:t>nonsynonymous</w:t>
      </w:r>
      <w:proofErr w:type="spellEnd"/>
      <w:r>
        <w:t xml:space="preserve"> mutation</w:t>
      </w:r>
      <w:r w:rsidR="00A21D41">
        <w:t xml:space="preserve"> </w:t>
      </w:r>
      <w:r>
        <w:t>has been</w:t>
      </w:r>
      <w:r w:rsidR="00A21D41">
        <w:t xml:space="preserve"> previously observed in an </w:t>
      </w:r>
      <w:r w:rsidR="00A21D41">
        <w:rPr>
          <w:i/>
        </w:rPr>
        <w:t>in vitro</w:t>
      </w:r>
      <w:r w:rsidR="00A21D41">
        <w:t xml:space="preserve"> strain of </w:t>
      </w:r>
      <w:r w:rsidR="00A21D41">
        <w:rPr>
          <w:i/>
        </w:rPr>
        <w:t>S. maltophilia</w:t>
      </w:r>
      <w:r w:rsidR="00A21D41">
        <w:t>, D457R, created by selecting single-step tetracycline-resistant mutants from the antibiotic-su</w:t>
      </w:r>
      <w:r>
        <w:t>sceptible clinical strain D457</w:t>
      </w:r>
      <w:r w:rsidR="00F60A01">
        <w:t xml:space="preserve"> </w:t>
      </w:r>
      <w:r w:rsidR="00A44B70">
        <w:fldChar w:fldCharType="begin" w:fldLock="1"/>
      </w:r>
      <w:r w:rsidR="007F7A1F">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"id" : "ITEM-2",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"ITEM-2", "issue" : "5", "issued" : { "date-parts" : [ [ "1997" ] ] }, "page" : "1140-1142", "title" : "Multiple antibiotic resistance in Stenotrophomonas maltophilia.", "type" : "article-journal", "volume" : "41" }, "uris" : [ "http://www.mendeley.com/documents/?uuid=8c04615a-5e00-43d0-98fb-e903e095b598" ] } ], "mendeley" : { "formattedCitation" : "(3, 4)", "plainTextFormattedCitation" : "(3, 4)", "previouslyFormattedCitation" : "(3, 4)" }, "properties" : { "noteIndex" : 0 }, "schema" : "https://github.com/citation-style-language/schema/raw/master/csl-citation.json" }</w:instrText>
      </w:r>
      <w:r w:rsidR="00A44B70">
        <w:fldChar w:fldCharType="separate"/>
      </w:r>
      <w:r w:rsidR="00E60ECD" w:rsidRPr="00E60ECD">
        <w:rPr>
          <w:noProof/>
        </w:rPr>
        <w:t>(3, 4)</w:t>
      </w:r>
      <w:r w:rsidR="00A44B70">
        <w:fldChar w:fldCharType="end"/>
      </w:r>
      <w:r w:rsidR="00384663">
        <w:t>.</w:t>
      </w:r>
      <w:r>
        <w:t xml:space="preserve"> </w:t>
      </w:r>
      <w:r w:rsidR="00A21D41">
        <w:t xml:space="preserve">The mutation is in the eighth α-helix of the </w:t>
      </w:r>
      <w:proofErr w:type="spellStart"/>
      <w:r w:rsidR="00A21D41">
        <w:rPr>
          <w:i/>
        </w:rPr>
        <w:t>smeT</w:t>
      </w:r>
      <w:proofErr w:type="spellEnd"/>
      <w:r w:rsidR="00A21D41">
        <w:t xml:space="preserve"> protein</w:t>
      </w:r>
      <w:r w:rsidR="00F60A01">
        <w:t xml:space="preserve"> </w:t>
      </w:r>
      <w:r w:rsidR="00F07ADC">
        <w:fldChar w:fldCharType="begin" w:fldLock="1"/>
      </w:r>
      <w:r w:rsidR="003868F1">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"mendeley" : { "formattedCitation" : "(13)", "plainTextFormattedCitation" : "(13)", "previouslyFormattedCitation" : "(13)" }, "properties" : { "noteIndex" : 0 }, "schema" : "https://github.com/citation-style-language/schema/raw/master/csl-citation.json" }</w:instrText>
      </w:r>
      <w:r w:rsidR="00F07ADC">
        <w:fldChar w:fldCharType="separate"/>
      </w:r>
      <w:r w:rsidR="006A0ADD" w:rsidRPr="006A0ADD">
        <w:rPr>
          <w:noProof/>
        </w:rPr>
        <w:t>(13)</w:t>
      </w:r>
      <w:r w:rsidR="00F07ADC">
        <w:fldChar w:fldCharType="end"/>
      </w:r>
      <w:r w:rsidR="00731F78">
        <w:t xml:space="preserve">, which </w:t>
      </w:r>
      <w:proofErr w:type="spellStart"/>
      <w:r w:rsidR="00A21D41">
        <w:t>homodimer</w:t>
      </w:r>
      <w:r w:rsidR="00FF34F6">
        <w:t>izes</w:t>
      </w:r>
      <w:proofErr w:type="spellEnd"/>
      <w:r w:rsidR="00A21D41">
        <w:t xml:space="preserve"> </w:t>
      </w:r>
      <w:r w:rsidR="00FF34F6">
        <w:t xml:space="preserve">to </w:t>
      </w:r>
      <w:r w:rsidR="00A21D41">
        <w:t xml:space="preserve">repress transcription of the </w:t>
      </w:r>
      <w:proofErr w:type="spellStart"/>
      <w:r w:rsidR="00A21D41">
        <w:rPr>
          <w:i/>
        </w:rPr>
        <w:t>smeDEF</w:t>
      </w:r>
      <w:proofErr w:type="spellEnd"/>
      <w:r w:rsidR="00A21D41">
        <w:t xml:space="preserve"> operon</w:t>
      </w:r>
      <w:r w:rsidR="00F60A01">
        <w:t xml:space="preserve"> </w:t>
      </w:r>
      <w:r w:rsidR="00F07ADC">
        <w:fldChar w:fldCharType="begin" w:fldLock="1"/>
      </w:r>
      <w:r w:rsidR="003868F1">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"id" : "ITEM-2",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"ITEM-2",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"mendeley" : { "formattedCitation" : "(3, 13)", "plainTextFormattedCitation" : "(3, 13)", "previouslyFormattedCitation" : "(3, 13)" }, "properties" : { "noteIndex" : 0 }, "schema" : "https://github.com/citation-style-language/schema/raw/master/csl-citation.json" }</w:instrText>
      </w:r>
      <w:r w:rsidR="00F07ADC">
        <w:fldChar w:fldCharType="separate"/>
      </w:r>
      <w:r w:rsidR="006A0ADD" w:rsidRPr="006A0ADD">
        <w:rPr>
          <w:noProof/>
        </w:rPr>
        <w:t>(3, 13)</w:t>
      </w:r>
      <w:r w:rsidR="00F07ADC">
        <w:fldChar w:fldCharType="end"/>
      </w:r>
      <w:r w:rsidR="00384663">
        <w:t>.</w:t>
      </w:r>
      <w:r>
        <w:t xml:space="preserve"> </w:t>
      </w:r>
      <w:r w:rsidR="00A21D41">
        <w:t xml:space="preserve">Although </w:t>
      </w:r>
      <w:r w:rsidR="00731F78">
        <w:t xml:space="preserve">the </w:t>
      </w:r>
      <w:r w:rsidR="00A21D41">
        <w:t xml:space="preserve">mutation is not in the DNA-binding region, </w:t>
      </w:r>
      <w:r w:rsidR="00A32B45">
        <w:t>it</w:t>
      </w:r>
      <w:r w:rsidR="00A21D41">
        <w:t xml:space="preserve"> </w:t>
      </w:r>
      <w:r w:rsidR="00A32B45">
        <w:t xml:space="preserve">has been shown to </w:t>
      </w:r>
      <w:r w:rsidR="00A21D41">
        <w:t xml:space="preserve">disable the repressor activity of </w:t>
      </w:r>
      <w:proofErr w:type="spellStart"/>
      <w:r w:rsidR="00A21D41">
        <w:rPr>
          <w:i/>
        </w:rPr>
        <w:t>SmeT</w:t>
      </w:r>
      <w:proofErr w:type="spellEnd"/>
      <w:r w:rsidR="00F60A01">
        <w:rPr>
          <w:i/>
        </w:rPr>
        <w:t xml:space="preserve"> </w:t>
      </w:r>
      <w:r w:rsidR="00541D6D">
        <w:fldChar w:fldCharType="begin" w:fldLock="1"/>
      </w:r>
      <w:r w:rsidR="007F7A1F">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"mendeley" : { "formattedCitation" : "(3)", "plainTextFormattedCitation" : "(3)", "previouslyFormattedCitation" : "(3)" }, "properties" : { "noteIndex" : 0 }, "schema" : "https://github.com/citation-style-language/schema/raw/master/csl-citation.json" }</w:instrText>
      </w:r>
      <w:r w:rsidR="00541D6D">
        <w:fldChar w:fldCharType="separate"/>
      </w:r>
      <w:r w:rsidR="00E60ECD" w:rsidRPr="00E60ECD">
        <w:rPr>
          <w:noProof/>
        </w:rPr>
        <w:t>(3)</w:t>
      </w:r>
      <w:r w:rsidR="00541D6D">
        <w:fldChar w:fldCharType="end"/>
      </w:r>
      <w:r w:rsidR="00384663">
        <w:t>,</w:t>
      </w:r>
      <w:r w:rsidR="00A21D41">
        <w:t xml:space="preserve"> leading to upregulation of </w:t>
      </w:r>
      <w:proofErr w:type="spellStart"/>
      <w:r w:rsidR="00A21D41">
        <w:rPr>
          <w:i/>
        </w:rPr>
        <w:t>SmeDEF</w:t>
      </w:r>
      <w:proofErr w:type="spellEnd"/>
      <w:r>
        <w:rPr>
          <w:i/>
        </w:rPr>
        <w:t xml:space="preserve"> </w:t>
      </w:r>
      <w:r w:rsidR="004E5846">
        <w:t>and conferring</w:t>
      </w:r>
      <w:r w:rsidR="00541D6D">
        <w:t xml:space="preserve"> an MDR phenotype</w:t>
      </w:r>
      <w:r w:rsidR="00F60A01">
        <w:t xml:space="preserve"> </w:t>
      </w:r>
      <w:r w:rsidR="00541D6D">
        <w:fldChar w:fldCharType="begin" w:fldLock="1"/>
      </w:r>
      <w:r w:rsidR="003868F1">
        <w:instrText>ADDIN CSL_CITATION { "citationItems" : [ { "id" : "ITEM-1", "itemData" : { "DOI" : "10.1128/AAC.45.6.1879-1881.2001", "ISBN" : "3491585457", "ISSN" : "00664804", "PMID" : "11353642", "abstract" : "The presence of the multidrug efflux pump SmeDEF was assessed in a collection of clinical isolates of Stenotrophomonas maltophilia. All isolates encoded this pump, as demonstrated by PCR. Forty-seven percent of the strains overproduced a protein of the same size that was immunoreactive against an anti-SmeF antibody, and 33% overexpressed the gene semD when they were tested by reverse transcription-PCR. A correlation between smeDEF overexpression and antibiotic resistance was observed.", "author" : [ { "dropping-particle" : "", "family" : "Alonso", "given" : "Ana", "non-dropping-particle" : "", "parse-names" : false, "suffix" : "" }, { "dropping-particle" : "", "family" : "Martinez", "given" : "Jose Luis", "non-dropping-particle" : "", "parse-names" : false, "suffix" : "" } ], "container-title" : "Antimicrobial Agents and Chemotherapy", "id" : "ITEM-1", "issue" : "6", "issued" : { "date-parts" : [ [ "2001" ] ] }, "page" : "1879-1881", "title" : "Expression of multidrug efflux pump smeDEF by clinical isolates of Stenotrophomonas maltophilia", "type" : "article-journal", "volume" : "45" }, "uris" : [ "http://www.mendeley.com/documents/?uuid=65e801dd-3db3-4055-a5aa-4dbc87dce333" ] } ], "mendeley" : { "formattedCitation" : "(14)", "plainTextFormattedCitation" : "(14)", "previouslyFormattedCitation" : "(14)" }, "properties" : { "noteIndex" : 0 }, "schema" : "https://github.com/citation-style-language/schema/raw/master/csl-citation.json" }</w:instrText>
      </w:r>
      <w:r w:rsidR="00541D6D">
        <w:fldChar w:fldCharType="separate"/>
      </w:r>
      <w:r w:rsidR="006A0ADD" w:rsidRPr="006A0ADD">
        <w:rPr>
          <w:noProof/>
        </w:rPr>
        <w:t>(14)</w:t>
      </w:r>
      <w:r w:rsidR="00541D6D">
        <w:fldChar w:fldCharType="end"/>
      </w:r>
      <w:r w:rsidR="00384663">
        <w:t>.</w:t>
      </w:r>
    </w:p>
    <w:p w14:paraId="47F42D13" w14:textId="77777777" w:rsidR="0034713E" w:rsidRDefault="00A21D41" w:rsidP="0034713E">
      <w:pPr>
        <w:pStyle w:val="Normal2"/>
        <w:ind w:firstLine="720"/>
        <w:contextualSpacing/>
      </w:pPr>
      <w:r w:rsidRPr="00970698">
        <w:t>Figure 1B</w:t>
      </w:r>
      <w:r w:rsidR="00541D6D">
        <w:t xml:space="preserve"> shows an </w:t>
      </w:r>
      <w:r w:rsidR="005E0E23">
        <w:t>amino-acid sequence</w:t>
      </w:r>
      <w:r w:rsidR="00F337D3">
        <w:t xml:space="preserve"> alignment comparing </w:t>
      </w:r>
      <w:proofErr w:type="spellStart"/>
      <w:r>
        <w:rPr>
          <w:i/>
        </w:rPr>
        <w:t>SmeT</w:t>
      </w:r>
      <w:proofErr w:type="spellEnd"/>
      <w:r w:rsidR="00F337D3">
        <w:t xml:space="preserve"> in D457</w:t>
      </w:r>
      <w:r w:rsidR="00384663">
        <w:t xml:space="preserve"> and</w:t>
      </w:r>
      <w:r>
        <w:t xml:space="preserve"> D457R</w:t>
      </w:r>
      <w:r w:rsidR="00384663">
        <w:t xml:space="preserve"> to aligned sequences from our seven isolates. </w:t>
      </w:r>
      <w:r w:rsidR="002F5E8C">
        <w:t>Notably, while none of the remaining isolates shared the same L</w:t>
      </w:r>
      <w:r w:rsidR="00B237C8">
        <w:t>eu-</w:t>
      </w:r>
      <w:r w:rsidR="002F5E8C">
        <w:t>166</w:t>
      </w:r>
      <w:r w:rsidR="00B237C8">
        <w:t>→Gln</w:t>
      </w:r>
      <w:r w:rsidR="002F5E8C">
        <w:t xml:space="preserve"> (c.497A&gt;T) mutation, another isolate resistant to levofloxacin, ISMMS4, displayed a C&gt;T mutation at position 388 of </w:t>
      </w:r>
      <w:proofErr w:type="spellStart"/>
      <w:r w:rsidR="002F5E8C">
        <w:rPr>
          <w:i/>
        </w:rPr>
        <w:t>smeT</w:t>
      </w:r>
      <w:proofErr w:type="spellEnd"/>
      <w:r w:rsidR="002F5E8C">
        <w:t xml:space="preserve"> that creates a premature stop codon that likely disrupts </w:t>
      </w:r>
      <w:proofErr w:type="spellStart"/>
      <w:r w:rsidR="002F5E8C">
        <w:rPr>
          <w:i/>
        </w:rPr>
        <w:t>smeT</w:t>
      </w:r>
      <w:proofErr w:type="spellEnd"/>
      <w:r w:rsidR="002F5E8C">
        <w:t xml:space="preserve"> function (</w:t>
      </w:r>
      <w:r w:rsidR="002F5E8C" w:rsidRPr="00970698">
        <w:t xml:space="preserve">Figure 1A </w:t>
      </w:r>
      <w:r w:rsidR="002F5E8C" w:rsidRPr="00915B68">
        <w:t>and</w:t>
      </w:r>
      <w:r w:rsidR="00AB1D02" w:rsidRPr="00970698">
        <w:t xml:space="preserve"> </w:t>
      </w:r>
      <w:r w:rsidR="002F5E8C" w:rsidRPr="00970698">
        <w:t>1B</w:t>
      </w:r>
      <w:r w:rsidR="002F5E8C" w:rsidRPr="00170B68">
        <w:t>)</w:t>
      </w:r>
      <w:r w:rsidR="002F5E8C">
        <w:t>.</w:t>
      </w:r>
      <w:r w:rsidR="00457D34" w:rsidDel="00457D34">
        <w:t xml:space="preserve"> </w:t>
      </w:r>
      <w:bookmarkStart w:id="11" w:name="h.87kqqssm9kei" w:colFirst="0" w:colLast="0"/>
      <w:bookmarkEnd w:id="11"/>
    </w:p>
    <w:p w14:paraId="1A07FA79" w14:textId="59D5B54D" w:rsidR="00DE0E07" w:rsidRPr="004F3255" w:rsidRDefault="00DE0E07" w:rsidP="0034713E">
      <w:pPr>
        <w:pStyle w:val="Normal2"/>
        <w:ind w:firstLine="720"/>
        <w:contextualSpacing/>
      </w:pPr>
      <w:r>
        <w:t xml:space="preserve">The </w:t>
      </w:r>
      <w:r w:rsidR="00B46DDC">
        <w:t>QRDR</w:t>
      </w:r>
      <w:r w:rsidR="0017680C">
        <w:t xml:space="preserve"> are loci</w:t>
      </w:r>
      <w:r w:rsidR="00B46DDC">
        <w:t xml:space="preserve"> </w:t>
      </w:r>
      <w:r>
        <w:t>within</w:t>
      </w:r>
      <w:r w:rsidR="00AE6DF9">
        <w:t xml:space="preserve"> </w:t>
      </w:r>
      <w:r>
        <w:t>genes</w:t>
      </w:r>
      <w:r w:rsidR="005358AB">
        <w:t xml:space="preserve"> </w:t>
      </w:r>
      <w:r w:rsidR="000A174E">
        <w:t>enco</w:t>
      </w:r>
      <w:r w:rsidR="00330D9F">
        <w:t>ding</w:t>
      </w:r>
      <w:r w:rsidR="005358AB">
        <w:t xml:space="preserve"> topoisomerase II and IV subunits</w:t>
      </w:r>
      <w:r>
        <w:t xml:space="preserve"> </w:t>
      </w:r>
      <w:r w:rsidR="00B46DDC">
        <w:t xml:space="preserve">known </w:t>
      </w:r>
      <w:r w:rsidR="00E86D01">
        <w:t>for mutations</w:t>
      </w:r>
      <w:r w:rsidR="00B46DDC">
        <w:t xml:space="preserve"> </w:t>
      </w:r>
      <w:r w:rsidR="006618FA">
        <w:t>that confer</w:t>
      </w:r>
      <w:r w:rsidR="00B46DDC">
        <w:t xml:space="preserve"> quinolone resistance in </w:t>
      </w:r>
      <w:r w:rsidR="00BD00AE">
        <w:t>G</w:t>
      </w:r>
      <w:r w:rsidR="00B46DDC">
        <w:t>ram-</w:t>
      </w:r>
      <w:r w:rsidR="003868F1">
        <w:t xml:space="preserve">negative bacteria, although </w:t>
      </w:r>
      <w:r w:rsidR="00440F0F">
        <w:t xml:space="preserve">they appear to play a </w:t>
      </w:r>
      <w:r w:rsidR="00BD4CD9">
        <w:t>secondary role</w:t>
      </w:r>
      <w:r w:rsidR="00EA3EAD">
        <w:t xml:space="preserve"> to efflux systems</w:t>
      </w:r>
      <w:r w:rsidR="003868F1">
        <w:t xml:space="preserve"> </w:t>
      </w:r>
      <w:r w:rsidR="00437A96">
        <w:t>for</w:t>
      </w:r>
      <w:r w:rsidR="003868F1">
        <w:t xml:space="preserve"> resistance </w:t>
      </w:r>
      <w:r w:rsidR="008343D2">
        <w:t xml:space="preserve">emerging </w:t>
      </w:r>
      <w:r w:rsidR="003868F1">
        <w:t xml:space="preserve">during treatment of </w:t>
      </w:r>
      <w:r w:rsidR="00B46DDC">
        <w:rPr>
          <w:i/>
        </w:rPr>
        <w:t>S. maltophilia</w:t>
      </w:r>
      <w:r w:rsidR="00B46DDC">
        <w:t xml:space="preserve"> </w:t>
      </w:r>
      <w:r w:rsidR="003D1E5F">
        <w:t xml:space="preserve">infection </w:t>
      </w:r>
      <w:r w:rsidR="002E7A79">
        <w:fldChar w:fldCharType="begin" w:fldLock="1"/>
      </w:r>
      <w:r w:rsidR="002E7A79">
        <w:instrText>ADDIN CSL_CITATION { "citationItems" : [ { "id" : "ITEM-1", "itemData" : { "DOI" : "10.1093/jac/dki182", "ISBN" : "3491336880", "ISSN" : "03057453", "PMID" : "15928010", "abstract" : "OBJECTIVES: To ascertain the participation of topoisomerase mutations in the development of ciprofloxacin resistance in isogenic Stenotrophomonas maltophilia mutants. METHODS: gyrAB and parCE sequences in three paired in vivo isogenic ciprofloxacin-susceptible (MIC range 0.5-4 mg/L) and resistant (16-128 mg/L) S. maltophilia strains (PFGE-characterized) sequentially isolated from three patients, and their corresponding in vitro mutants (ciprofloxacin MIC range 2-&gt;128 mg/L), were studied. Efflux phenotype was also investigated. RESULTS: Despite different quinolone susceptibilities, each paired clinical strain displayed identical gyrAB and parCE sequences as well as their corresponding in vitro mutants. Up to 50% (18/36) of in vitro mutants displayed a positive efflux phenotype when nalidixic acid was combined with MC-207,110, while 6% (2/36) showed the phenotype when exposed to nalidixic acid and reserpine. Carbonyl cyanide m-chlorophenylhydrazone or arsenite failed to alter quinolone MICs. CONCLUSIONS: The increase of ciprofloxacin MICs in in vivo and in vitro isogenic S. maltophilia mutant strains was not related to quinolone resistance determining region mutations. Highly effective efflux mechanisms might preserve topoisomerase targets from a ciprofloxacin challenge in S. maltophilia.", "author" : [ { "dropping-particle" : "", "family" : "Valdezate", "given" : "Sylvia", "non-dropping-particle" : "", "parse-names" : false, "suffix" : "" }, { "dropping-particle" : "", "family" : "Vindel", "given" : "Ana", "non-dropping-particle" : "", "parse-names" : false, "suffix" : "" }, { "dropping-particle" : "", "family" : "Sa\u00e9z-Nieto", "given" : "Juan Antonio", "non-dropping-particle" : "", "parse-names" : false, "suffix" : "" }, { "dropping-particle" : "", "family" : "Baquero", "given" : "Fernando", "non-dropping-particle" : "", "parse-names" : false, "suffix" : "" }, { "dropping-particle" : "", "family" : "Cant\u00f3n", "given" : "Rafael", "non-dropping-particle" : "", "parse-names" : false, "suffix" : "" } ], "container-title" : "Journal of Antimicrobial Chemotherapy", "id" : "ITEM-1", "issue" : "1", "issued" : { "date-parts" : [ [ "2005" ] ] }, "page" : "220-223", "title" : "Preservation of topoisomerase genetic sequences during in vivo and in vitro development of high-level resistance to ciprofloxacin in isogenic Stenotrophomonas maltophilia strains", "type" : "article-journal", "volume" : "56" }, "uris" : [ "http://www.mendeley.com/documents/?uuid=2363f321-fbb4-4ba1-bbb7-ca505931baf4" ] } ], "mendeley" : { "formattedCitation" : "(5)", "plainTextFormattedCitation" : "(5)", "previouslyFormattedCitation" : "(5)" }, "properties" : { "noteIndex" : 0 }, "schema" : "https://github.com/citation-style-language/schema/raw/master/csl-citation.json" }</w:instrText>
      </w:r>
      <w:r w:rsidR="002E7A79">
        <w:fldChar w:fldCharType="separate"/>
      </w:r>
      <w:r w:rsidR="002E7A79" w:rsidRPr="003868F1">
        <w:rPr>
          <w:noProof/>
        </w:rPr>
        <w:t>(5)</w:t>
      </w:r>
      <w:r w:rsidR="002E7A79">
        <w:fldChar w:fldCharType="end"/>
      </w:r>
      <w:r w:rsidR="003868F1">
        <w:t>. An amino</w:t>
      </w:r>
      <w:r w:rsidR="00397EFA">
        <w:t>-acid sequence alignment of</w:t>
      </w:r>
      <w:r w:rsidR="00450030">
        <w:t xml:space="preserve"> the</w:t>
      </w:r>
      <w:r w:rsidR="003868F1">
        <w:t xml:space="preserve"> </w:t>
      </w:r>
      <w:proofErr w:type="spellStart"/>
      <w:r w:rsidR="00450030">
        <w:rPr>
          <w:i/>
        </w:rPr>
        <w:t>gyrA</w:t>
      </w:r>
      <w:proofErr w:type="spellEnd"/>
      <w:r w:rsidR="00450030">
        <w:t xml:space="preserve">, </w:t>
      </w:r>
      <w:proofErr w:type="spellStart"/>
      <w:r w:rsidR="00450030">
        <w:rPr>
          <w:i/>
        </w:rPr>
        <w:t>gyrB</w:t>
      </w:r>
      <w:proofErr w:type="spellEnd"/>
      <w:r w:rsidR="00450030">
        <w:t xml:space="preserve">, and </w:t>
      </w:r>
      <w:proofErr w:type="spellStart"/>
      <w:r w:rsidR="00450030">
        <w:rPr>
          <w:i/>
        </w:rPr>
        <w:t>parC</w:t>
      </w:r>
      <w:proofErr w:type="spellEnd"/>
      <w:r w:rsidR="00450030">
        <w:rPr>
          <w:i/>
        </w:rPr>
        <w:t xml:space="preserve"> </w:t>
      </w:r>
      <w:r w:rsidR="00450030">
        <w:t xml:space="preserve">genes of </w:t>
      </w:r>
      <w:r w:rsidR="00177A8B">
        <w:t xml:space="preserve">our seven isolates and </w:t>
      </w:r>
      <w:r w:rsidR="003868F1">
        <w:t xml:space="preserve">the </w:t>
      </w:r>
      <w:r w:rsidR="00F6441D">
        <w:t xml:space="preserve">reference </w:t>
      </w:r>
      <w:r w:rsidR="003868F1">
        <w:t xml:space="preserve">clinical </w:t>
      </w:r>
      <w:r w:rsidR="00177A8B">
        <w:t>isolates</w:t>
      </w:r>
      <w:r w:rsidR="003868F1">
        <w:t xml:space="preserve"> D457 and K279a </w:t>
      </w:r>
      <w:r w:rsidR="003E745D">
        <w:t>revealed no difference</w:t>
      </w:r>
      <w:r w:rsidR="008A3E75">
        <w:t>s</w:t>
      </w:r>
      <w:r w:rsidR="003E745D">
        <w:t xml:space="preserve"> in</w:t>
      </w:r>
      <w:r w:rsidR="006B5F31">
        <w:t xml:space="preserve"> the QRDR.</w:t>
      </w:r>
      <w:r w:rsidR="00DE3BB3">
        <w:t xml:space="preserve"> </w:t>
      </w:r>
      <w:r w:rsidR="004F3255">
        <w:t xml:space="preserve">Some variants were observed </w:t>
      </w:r>
      <w:r w:rsidR="007317E0">
        <w:t>within</w:t>
      </w:r>
      <w:r w:rsidR="004F3255">
        <w:t xml:space="preserve"> the QRDR of </w:t>
      </w:r>
      <w:proofErr w:type="spellStart"/>
      <w:r w:rsidR="004F3255">
        <w:rPr>
          <w:i/>
        </w:rPr>
        <w:t>parE</w:t>
      </w:r>
      <w:proofErr w:type="spellEnd"/>
      <w:r w:rsidR="004F3255">
        <w:t xml:space="preserve"> (Supplementary Figure 1), all of which were </w:t>
      </w:r>
      <w:r w:rsidR="00804978">
        <w:t xml:space="preserve">consistent with </w:t>
      </w:r>
      <w:r w:rsidR="00820F49">
        <w:t>past</w:t>
      </w:r>
      <w:r w:rsidR="00804978">
        <w:t xml:space="preserve"> observations </w:t>
      </w:r>
      <w:r w:rsidR="004927F0">
        <w:t>in</w:t>
      </w:r>
      <w:r w:rsidR="00804978">
        <w:t xml:space="preserve"> clinical isolates </w:t>
      </w:r>
      <w:r w:rsidR="00804978">
        <w:fldChar w:fldCharType="begin" w:fldLock="1"/>
      </w:r>
      <w:r w:rsidR="00AD1A4C">
        <w:instrText>ADDIN CSL_CITATION { "citationItems" : [ { "id" : "ITEM-1", "itemData" : { "DOI" : "10.1128/AAC.46.3.665-671.2002", "ISBN" : "3491336880", "ISSN" : "00664804", "PMID" : "11850246", "abstract" : "The quinolone resistance-determining regions (QRDRs) of topoisomerase II and IV genes from Stenotrophomonas maltophilia ATCC 13637 were sequenced and compared with the corresponding regions of 32 unrelated S. maltophilia clinical strains for which ciprofloxacin MICs ranged from 0.1 to 64 microg/ml. GyrA (Leu-55 to Gln-155, Escherichia coli numbering), GyrB (Met-391 to Phe-513), ParC (Ile-34 to Arg-124), and ParE (Leu-396 to Leu-567) fragments from strain ATCC 13637 showed high degrees of identity to the corresponding regions from the phytopathogen Xylella fastidiosa, with the degrees of identity ranging from 85.0 to 93.5%. Lower degrees of identity to the corresponding regions from Pseudomonas aeruginosa (70.9 to 88.6%) and E. coli (73.0 to 88.6%) were observed. Amino acid changes were present in GyrA fragments from 9 of the 32 strains at positions 70, 85, 90, 103, 112, 113, 119, and 124; but there was no consistent relation to higher ciprofloxacin MICs. The absence of changes at positions 83 and 87, commonly involved in quinolone resistance in gram-negative bacteria, was unexpected. The GyrB sequences were identical in all strains, and only one strain (ciprofloxacin MIC, 16 microg/ml) showed a ParC amino acid change (Ser-80--&gt;Arg). In contrast, a high frequency (16 of 32 strains) of amino acid replacements was present in ParE. The frequencies of alterations at positions 437, 465, 477, and 485 were higher (P &lt; 0.05) in strains from cystic fibrosis patients, but these changes were not linked with high ciprofloxacin MICs. An efflux phenotype, screened by the detection of decreases of at least twofold doubling dilutions of the ciprofloxacin MIC in the presence of carbonyl cyanide m-chlorophenylhydrazone (0.5 microg/ml) or reserpine (10 microg/ml), was suspected in seven strains. These results suggest that topoisomerases II and IV may not be the primary targets involved in quinolone resistance in S. maltophilia.", "author" : [ { "dropping-particle" : "", "family" : "Valdezate", "given" : "Sylvia", "non-dropping-particle" : "", "parse-names" : false, "suffix" : "" }, { "dropping-particle" : "", "family" : "Vindel", "given" : "Ana", "non-dropping-particle" : "", "parse-names" : false, "suffix" : "" }, { "dropping-particle" : "", "family" : "Echeita", "given" : "Aurora", "non-dropping-particle" : "", "parse-names" : false, "suffix" : "" }, { "dropping-particle" : "", "family" : "Baquero", "given" : "Fernando", "non-dropping-particle" : "", "parse-names" : false, "suffix" : "" }, { "dropping-particle" : "", "family" : "Cant\u00f3n", "given" : "Rafael", "non-dropping-particle" : "", "parse-names" : false, "suffix" : "" } ], "container-title" : "Antimicrobial Agents and Chemotherapy", "id" : "ITEM-1", "issue" : "3", "issued" : { "date-parts" : [ [ "2002" ] ] }, "page" : "665-671", "title" : "Topoisomerase II and IV quinolone resistance-determining regions in Stenotrophomonas maltophilia clinical isolates with different levels of quinolone susceptibility", "type" : "article-journal", "volume" : "46" }, "uris" : [ "http://www.mendeley.com/documents/?uuid=17d9b6c8-3760-4014-b68b-dbb1f8786bc5" ] } ], "mendeley" : { "formattedCitation" : "(15)", "plainTextFormattedCitation" : "(15)", "previouslyFormattedCitation" : "(15)" }, "properties" : { "noteIndex" : 0 }, "schema" : "https://github.com/citation-style-language/schema/raw/master/csl-citation.json" }</w:instrText>
      </w:r>
      <w:r w:rsidR="00804978">
        <w:fldChar w:fldCharType="separate"/>
      </w:r>
      <w:r w:rsidR="00804978" w:rsidRPr="00804978">
        <w:rPr>
          <w:noProof/>
        </w:rPr>
        <w:t>(15)</w:t>
      </w:r>
      <w:r w:rsidR="00804978">
        <w:fldChar w:fldCharType="end"/>
      </w:r>
      <w:r w:rsidR="00804978">
        <w:t xml:space="preserve"> except for a</w:t>
      </w:r>
      <w:r w:rsidR="006F517B">
        <w:t>n</w:t>
      </w:r>
      <w:r w:rsidR="00804978">
        <w:t xml:space="preserve"> Ile-599→Val variant</w:t>
      </w:r>
      <w:r w:rsidR="00BD00AE">
        <w:t xml:space="preserve"> observed in three of our isolates and the D457 reference </w:t>
      </w:r>
      <w:r w:rsidR="00F5230D">
        <w:t>sequence</w:t>
      </w:r>
      <w:r w:rsidR="00804978">
        <w:t>.</w:t>
      </w:r>
    </w:p>
    <w:p w14:paraId="1059BAFA" w14:textId="265859F2" w:rsidR="00923BCA" w:rsidRDefault="00A21D41" w:rsidP="0034713E">
      <w:pPr>
        <w:pStyle w:val="Normal2"/>
        <w:ind w:firstLine="720"/>
        <w:contextualSpacing/>
      </w:pPr>
      <w:r>
        <w:t xml:space="preserve">Significant </w:t>
      </w:r>
      <w:r w:rsidR="00F1105E">
        <w:t xml:space="preserve">genomic </w:t>
      </w:r>
      <w:r>
        <w:t xml:space="preserve">diversity </w:t>
      </w:r>
      <w:r w:rsidR="000F1DE1">
        <w:t xml:space="preserve">was </w:t>
      </w:r>
      <w:r>
        <w:t xml:space="preserve">observed among the </w:t>
      </w:r>
      <w:r w:rsidR="000F1DE1">
        <w:rPr>
          <w:i/>
        </w:rPr>
        <w:t xml:space="preserve">S. maltophilia </w:t>
      </w:r>
      <w:r w:rsidR="00915B68">
        <w:t xml:space="preserve">isolates from all six </w:t>
      </w:r>
      <w:r>
        <w:t xml:space="preserve">patients. </w:t>
      </w:r>
      <w:r w:rsidR="00384663" w:rsidRPr="00970698">
        <w:t>Supplementary F</w:t>
      </w:r>
      <w:r w:rsidRPr="00970698">
        <w:t xml:space="preserve">igure </w:t>
      </w:r>
      <w:r w:rsidR="004F3255">
        <w:t>2</w:t>
      </w:r>
      <w:r w:rsidR="00B144D0">
        <w:t xml:space="preserve"> shows a </w:t>
      </w:r>
      <w:r>
        <w:t xml:space="preserve">maximum-likelihood phylogeny </w:t>
      </w:r>
      <w:r w:rsidR="00B144D0">
        <w:t xml:space="preserve">with </w:t>
      </w:r>
      <w:r w:rsidR="00FF5185">
        <w:t>branch lengths</w:t>
      </w:r>
      <w:r w:rsidR="00B144D0">
        <w:t xml:space="preserve"> </w:t>
      </w:r>
      <w:r w:rsidR="00FF5185">
        <w:lastRenderedPageBreak/>
        <w:t xml:space="preserve">scaled to </w:t>
      </w:r>
      <w:r w:rsidR="00696E5D">
        <w:t xml:space="preserve">SNV </w:t>
      </w:r>
      <w:r w:rsidR="00FF5185">
        <w:t>distances</w:t>
      </w:r>
      <w:r w:rsidR="00B144D0">
        <w:t>. O</w:t>
      </w:r>
      <w:r>
        <w:t>ur isolates distribute widely among</w:t>
      </w:r>
      <w:r w:rsidR="00FF5185">
        <w:t xml:space="preserve"> all</w:t>
      </w:r>
      <w:r>
        <w:t xml:space="preserve"> </w:t>
      </w:r>
      <w:r w:rsidR="00B144D0">
        <w:t>four</w:t>
      </w:r>
      <w:r>
        <w:t xml:space="preserve"> reference assemblies for </w:t>
      </w:r>
      <w:r w:rsidR="00FF5185">
        <w:t xml:space="preserve">complete </w:t>
      </w:r>
      <w:r w:rsidR="00FF5185">
        <w:rPr>
          <w:i/>
        </w:rPr>
        <w:t xml:space="preserve">S. maltophilia </w:t>
      </w:r>
      <w:r w:rsidR="00FF5185">
        <w:t xml:space="preserve">genomes </w:t>
      </w:r>
      <w:r>
        <w:t xml:space="preserve">in </w:t>
      </w:r>
      <w:proofErr w:type="spellStart"/>
      <w:r>
        <w:t>GenBank</w:t>
      </w:r>
      <w:proofErr w:type="spellEnd"/>
      <w:r>
        <w:t>.</w:t>
      </w:r>
      <w:r w:rsidR="00923BCA">
        <w:t xml:space="preserve"> </w:t>
      </w:r>
      <w:r w:rsidR="004B1B6B">
        <w:t>T</w:t>
      </w:r>
      <w:r>
        <w:t xml:space="preserve">he distances of </w:t>
      </w:r>
      <w:r w:rsidR="00FF5185">
        <w:t>tens of</w:t>
      </w:r>
      <w:r>
        <w:t xml:space="preserve"> thousand</w:t>
      </w:r>
      <w:r w:rsidR="00733182">
        <w:t>s of</w:t>
      </w:r>
      <w:r>
        <w:t xml:space="preserve"> </w:t>
      </w:r>
      <w:r w:rsidR="00696E5D">
        <w:t xml:space="preserve">SNVs </w:t>
      </w:r>
      <w:r>
        <w:t xml:space="preserve">seen in our phylogeny suggest that the natural diversity of pathogenic </w:t>
      </w:r>
      <w:r>
        <w:rPr>
          <w:i/>
        </w:rPr>
        <w:t>S. maltophilia</w:t>
      </w:r>
      <w:r>
        <w:t xml:space="preserve"> is greater than</w:t>
      </w:r>
      <w:r w:rsidR="00923BCA">
        <w:t xml:space="preserve"> that</w:t>
      </w:r>
      <w:r>
        <w:t xml:space="preserve"> captured by the current set of reference assemblies</w:t>
      </w:r>
      <w:r w:rsidR="008F6899">
        <w:t>,</w:t>
      </w:r>
      <w:r w:rsidR="007E2128">
        <w:t xml:space="preserve"> even within a single hospital setting.</w:t>
      </w:r>
      <w:r w:rsidR="00923BCA">
        <w:t xml:space="preserve"> </w:t>
      </w:r>
    </w:p>
    <w:p w14:paraId="62879D7A" w14:textId="5A8AC0DF" w:rsidR="000C1143" w:rsidRDefault="00A21D41" w:rsidP="0034713E">
      <w:pPr>
        <w:pStyle w:val="Normal2"/>
        <w:ind w:firstLine="720"/>
        <w:contextualSpacing/>
      </w:pPr>
      <w:r>
        <w:t xml:space="preserve">Recombination is not an obvious source of diversity in our </w:t>
      </w:r>
      <w:r>
        <w:rPr>
          <w:i/>
        </w:rPr>
        <w:t>S. maltophilia</w:t>
      </w:r>
      <w:r>
        <w:t xml:space="preserve"> i</w:t>
      </w:r>
      <w:r w:rsidR="00A14D2C">
        <w:t xml:space="preserve">solates. </w:t>
      </w:r>
      <w:r w:rsidR="00384663" w:rsidRPr="00970698">
        <w:t>Supplementary</w:t>
      </w:r>
      <w:r w:rsidR="00384663" w:rsidRPr="00915B68">
        <w:t xml:space="preserve"> </w:t>
      </w:r>
      <w:r w:rsidRPr="00970698">
        <w:t xml:space="preserve">Figure </w:t>
      </w:r>
      <w:r w:rsidR="004F3255">
        <w:t>3</w:t>
      </w:r>
      <w:r w:rsidR="00A14D2C">
        <w:t xml:space="preserve"> depicts whole genome alignments</w:t>
      </w:r>
      <w:r w:rsidR="00BF64D4">
        <w:t xml:space="preserve"> </w:t>
      </w:r>
      <w:r w:rsidR="00485B87">
        <w:t>between</w:t>
      </w:r>
      <w:r w:rsidR="00587205">
        <w:t xml:space="preserve"> the four </w:t>
      </w:r>
      <w:r w:rsidR="00BF64D4">
        <w:t>clinical isolates</w:t>
      </w:r>
      <w:r w:rsidR="00587205">
        <w:t xml:space="preserve"> where assembly </w:t>
      </w:r>
      <w:r w:rsidR="00485B87">
        <w:t>produced</w:t>
      </w:r>
      <w:r w:rsidR="00587205">
        <w:t xml:space="preserve"> a circularized chromosome</w:t>
      </w:r>
      <w:r w:rsidR="00BF64D4">
        <w:t xml:space="preserve"> and </w:t>
      </w:r>
      <w:r w:rsidR="00587205">
        <w:t>the four</w:t>
      </w:r>
      <w:r w:rsidR="009558EC">
        <w:t xml:space="preserve"> </w:t>
      </w:r>
      <w:proofErr w:type="spellStart"/>
      <w:r w:rsidR="009558EC">
        <w:t>GenBank</w:t>
      </w:r>
      <w:proofErr w:type="spellEnd"/>
      <w:r w:rsidR="00587205">
        <w:t xml:space="preserve"> </w:t>
      </w:r>
      <w:r w:rsidR="00BF64D4">
        <w:t>reference</w:t>
      </w:r>
      <w:r w:rsidR="009558EC">
        <w:t>s</w:t>
      </w:r>
      <w:r w:rsidR="00384663">
        <w:t>,</w:t>
      </w:r>
      <w:r w:rsidR="00A14D2C">
        <w:t xml:space="preserve"> showing </w:t>
      </w:r>
      <w:r w:rsidR="007600EA">
        <w:t xml:space="preserve">small </w:t>
      </w:r>
      <w:r w:rsidR="00FF5185">
        <w:t xml:space="preserve">areas </w:t>
      </w:r>
      <w:r w:rsidR="00A14D2C">
        <w:t xml:space="preserve">of </w:t>
      </w:r>
      <w:r>
        <w:t xml:space="preserve">non-homology </w:t>
      </w:r>
      <w:r w:rsidR="00A14D2C">
        <w:t>separating</w:t>
      </w:r>
      <w:r>
        <w:t xml:space="preserve"> large regions of significant homology</w:t>
      </w:r>
      <w:r w:rsidR="001658A2">
        <w:t xml:space="preserve"> occur</w:t>
      </w:r>
      <w:r w:rsidR="00FF5185">
        <w:t>ring</w:t>
      </w:r>
      <w:r w:rsidR="001658A2">
        <w:t xml:space="preserve"> </w:t>
      </w:r>
      <w:r w:rsidR="007600EA">
        <w:t xml:space="preserve">generally </w:t>
      </w:r>
      <w:r w:rsidR="001658A2">
        <w:t>in the same order for each genome</w:t>
      </w:r>
      <w:r>
        <w:t>.</w:t>
      </w:r>
      <w:r w:rsidR="00FF5185">
        <w:t xml:space="preserve"> </w:t>
      </w:r>
      <w:r w:rsidR="00485B87">
        <w:t xml:space="preserve">ISMMS2 and ISMMS2R are </w:t>
      </w:r>
      <w:r w:rsidR="008D765A">
        <w:t>structurally identical</w:t>
      </w:r>
      <w:r w:rsidR="00485B87">
        <w:t>,</w:t>
      </w:r>
      <w:r w:rsidR="008D765A">
        <w:t xml:space="preserve"> </w:t>
      </w:r>
      <w:r w:rsidR="00230A0F">
        <w:t>as</w:t>
      </w:r>
      <w:r w:rsidR="008D765A">
        <w:t xml:space="preserve"> expected for serial isolates,</w:t>
      </w:r>
      <w:r w:rsidR="00485B87">
        <w:t xml:space="preserve"> while r</w:t>
      </w:r>
      <w:r w:rsidR="00FF5185">
        <w:t xml:space="preserve">ecombination events </w:t>
      </w:r>
      <w:r w:rsidR="00485B87">
        <w:t xml:space="preserve">among other strains </w:t>
      </w:r>
      <w:r w:rsidR="002C34DD">
        <w:t>are</w:t>
      </w:r>
      <w:r w:rsidR="00485B87">
        <w:t xml:space="preserve"> limited to small 1-2kb segments.</w:t>
      </w:r>
      <w:r>
        <w:t xml:space="preserve"> </w:t>
      </w:r>
      <w:r w:rsidR="003B734B">
        <w:t xml:space="preserve">Epigenetics motif analysis </w:t>
      </w:r>
      <w:r w:rsidR="00FF2EB3">
        <w:t>also suggests</w:t>
      </w:r>
      <w:r>
        <w:t xml:space="preserve"> th</w:t>
      </w:r>
      <w:r w:rsidR="003B734B">
        <w:t>at the isolates are not related</w:t>
      </w:r>
      <w:r w:rsidR="00FE3BA3">
        <w:t>.</w:t>
      </w:r>
      <w:r w:rsidR="003B734B" w:rsidRPr="00A54E61">
        <w:rPr>
          <w:b/>
        </w:rPr>
        <w:t xml:space="preserve"> </w:t>
      </w:r>
      <w:r w:rsidR="00384663" w:rsidRPr="00970698">
        <w:t xml:space="preserve">Supplementary </w:t>
      </w:r>
      <w:r w:rsidR="003B734B" w:rsidRPr="00970698">
        <w:t xml:space="preserve">Table </w:t>
      </w:r>
      <w:r w:rsidR="00384663" w:rsidRPr="00970698">
        <w:t>1</w:t>
      </w:r>
      <w:r w:rsidR="0032601A">
        <w:t xml:space="preserve"> shows </w:t>
      </w:r>
      <w:r w:rsidR="00FE3BA3">
        <w:t xml:space="preserve">different </w:t>
      </w:r>
      <w:r w:rsidR="0032601A">
        <w:t>motifs in</w:t>
      </w:r>
      <w:r w:rsidR="00FE3BA3">
        <w:t xml:space="preserve"> isolates from separate patients</w:t>
      </w:r>
      <w:r w:rsidR="00FE3BA3" w:rsidRPr="009130C4">
        <w:t>,</w:t>
      </w:r>
      <w:r w:rsidR="000E180C">
        <w:t xml:space="preserve"> </w:t>
      </w:r>
      <w:r w:rsidR="00953156">
        <w:t>implicat</w:t>
      </w:r>
      <w:r w:rsidR="000E180C">
        <w:t>ing</w:t>
      </w:r>
      <w:r w:rsidR="00953156">
        <w:t xml:space="preserve"> differences</w:t>
      </w:r>
      <w:r>
        <w:t xml:space="preserve"> in type </w:t>
      </w:r>
      <w:r w:rsidR="001612A8">
        <w:t>I</w:t>
      </w:r>
      <w:r>
        <w:t>I &amp; I</w:t>
      </w:r>
      <w:r w:rsidR="001612A8">
        <w:t>I</w:t>
      </w:r>
      <w:r>
        <w:t>I restriction modification systems</w:t>
      </w:r>
      <w:r w:rsidR="0026670F">
        <w:t xml:space="preserve"> between</w:t>
      </w:r>
      <w:r w:rsidR="00880D7C">
        <w:t xml:space="preserve"> the</w:t>
      </w:r>
      <w:r w:rsidR="0026670F">
        <w:t xml:space="preserve"> isolates</w:t>
      </w:r>
      <w:r w:rsidR="000E180C">
        <w:t xml:space="preserve"> </w:t>
      </w:r>
      <w:r w:rsidR="003A4C8F">
        <w:t>more likely</w:t>
      </w:r>
      <w:r w:rsidR="000E180C">
        <w:t xml:space="preserve"> to be</w:t>
      </w:r>
      <w:r w:rsidR="003A4C8F">
        <w:t xml:space="preserve"> caused by</w:t>
      </w:r>
      <w:r w:rsidR="005B32FA">
        <w:t xml:space="preserve"> </w:t>
      </w:r>
      <w:r>
        <w:t>inter-strain/species horizontal transfer</w:t>
      </w:r>
      <w:r w:rsidR="001612A8">
        <w:t xml:space="preserve"> of </w:t>
      </w:r>
      <w:proofErr w:type="spellStart"/>
      <w:r w:rsidR="001612A8">
        <w:t>methyltransferases</w:t>
      </w:r>
      <w:proofErr w:type="spellEnd"/>
      <w:r>
        <w:t xml:space="preserve"> than</w:t>
      </w:r>
      <w:r w:rsidR="000E180C">
        <w:t xml:space="preserve"> by</w:t>
      </w:r>
      <w:r>
        <w:t xml:space="preserve"> intra-strain </w:t>
      </w:r>
      <w:r w:rsidR="005368D7">
        <w:t>mutations</w:t>
      </w:r>
      <w:r w:rsidR="00F60A01">
        <w:t xml:space="preserve"> </w:t>
      </w:r>
      <w:r w:rsidR="00541F96">
        <w:fldChar w:fldCharType="begin" w:fldLock="1"/>
      </w:r>
      <w:r w:rsidR="00AD1A4C">
        <w:instrText>ADDIN CSL_CITATION { "citationItems" : [ { "id" : "ITEM-1", "itemData" : { "DOI" : "10.1038/nrmicro2283", "ISBN" : "1740-1534 (Electronic)\\r1740-1526 (Linking)", "ISSN" : "1740-1526", "PMID" : "20140025", "abstract" : "In several host-adapted pathogens, phase variation has been found to occur in genes that encode methyltransferases associated with type III restriction-modification systems. It was recently shown that in the human pathogens Haemophilus influenzae, Neisseria gonorrhoeae and Neisseria meningitidis phase variation of a type III DNA methyltransferase, encoded by members of the mod gene family, regulates the expression of multiple genes. This novel genetic system has been termed the 'phasevarion' (phase-variable regulon). The wide distribution of phase-variable mod family genes indicates that this may be a common strategy used by host-adapted bacterial pathogens to randomly switch between distinct cell types.", "author" : [ { "dropping-particle" : "", "family" : "Srikhanta", "given" : "Yogitha N", "non-dropping-particle" : "", "parse-names" : false, "suffix" : "" }, { "dropping-particle" : "", "family" : "Fox", "given" : "Kate L", "non-dropping-particle" : "", "parse-names" : false, "suffix" : "" }, { "dropping-particle" : "", "family" : "Jennings", "given" : "Michael P", "non-dropping-particle" : "", "parse-names" : false, "suffix" : "" } ], "container-title" : "Nature reviews. Microbiology", "id" : "ITEM-1", "issue" : "3", "issued" : { "date-parts" : [ [ "2010" ] ] }, "page" : "196-206", "publisher" : "Nature Publishing Group", "title" : "The phasevarion: phase variation of type III DNA methyltransferases controls coordinated switching in multiple genes.", "type" : "article-journal", "volume" : "8" }, "uris" : [ "http://www.mendeley.com/documents/?uuid=f7aab99b-aecd-43e4-b85e-75074ad46789" ] } ], "mendeley" : { "formattedCitation" : "(16)", "plainTextFormattedCitation" : "(16)", "previouslyFormattedCitation" : "(16)" }, "properties" : { "noteIndex" : 0 }, "schema" : "https://github.com/citation-style-language/schema/raw/master/csl-citation.json" }</w:instrText>
      </w:r>
      <w:r w:rsidR="00541F96">
        <w:fldChar w:fldCharType="separate"/>
      </w:r>
      <w:r w:rsidR="00804978" w:rsidRPr="00804978">
        <w:rPr>
          <w:noProof/>
        </w:rPr>
        <w:t>(16)</w:t>
      </w:r>
      <w:r w:rsidR="00541F96">
        <w:fldChar w:fldCharType="end"/>
      </w:r>
      <w:r>
        <w:t>.</w:t>
      </w:r>
      <w:r w:rsidR="00F04259">
        <w:t xml:space="preserve"> </w:t>
      </w:r>
      <w:r w:rsidR="00AB449A">
        <w:t xml:space="preserve">Together, this demonstrates that transmission did not occur </w:t>
      </w:r>
      <w:r w:rsidR="00553DC7">
        <w:t xml:space="preserve">among </w:t>
      </w:r>
      <w:r w:rsidR="00AB449A">
        <w:t xml:space="preserve">these six cases and </w:t>
      </w:r>
      <w:r w:rsidR="00302F5D">
        <w:t xml:space="preserve">that whole-genome sequencing </w:t>
      </w:r>
      <w:r w:rsidR="00495CE6">
        <w:t>can</w:t>
      </w:r>
      <w:r w:rsidR="00302F5D">
        <w:t xml:space="preserve"> </w:t>
      </w:r>
      <w:r w:rsidR="00A52FB0">
        <w:t>comprehensively</w:t>
      </w:r>
      <w:r w:rsidR="00C956D2">
        <w:t xml:space="preserve"> </w:t>
      </w:r>
      <w:r w:rsidR="00302F5D">
        <w:t>capture</w:t>
      </w:r>
      <w:r w:rsidR="00F57ECF">
        <w:t xml:space="preserve"> </w:t>
      </w:r>
      <w:r w:rsidR="00302F5D">
        <w:t xml:space="preserve">genetic distances and </w:t>
      </w:r>
      <w:r w:rsidR="00617067">
        <w:t>structural variants</w:t>
      </w:r>
      <w:r w:rsidR="00302F5D">
        <w:t xml:space="preserve"> </w:t>
      </w:r>
      <w:r w:rsidR="0081054C">
        <w:t>among</w:t>
      </w:r>
      <w:r w:rsidR="00302F5D">
        <w:t xml:space="preserve"> </w:t>
      </w:r>
      <w:r w:rsidR="00AC1885">
        <w:t xml:space="preserve">diverse </w:t>
      </w:r>
      <w:r w:rsidR="00302F5D">
        <w:t>clinical isolates</w:t>
      </w:r>
      <w:r w:rsidR="0090515B">
        <w:t xml:space="preserve"> of </w:t>
      </w:r>
      <w:r w:rsidR="0090515B">
        <w:rPr>
          <w:i/>
        </w:rPr>
        <w:t>S. maltophilia</w:t>
      </w:r>
      <w:r w:rsidR="00302F5D">
        <w:t>.</w:t>
      </w:r>
      <w:bookmarkStart w:id="12" w:name="h.izw9wupuok6x" w:colFirst="0" w:colLast="0"/>
      <w:bookmarkEnd w:id="12"/>
    </w:p>
    <w:p w14:paraId="07B584D8" w14:textId="57C81481" w:rsidR="005E2349" w:rsidRDefault="00DC2887" w:rsidP="0034713E">
      <w:pPr>
        <w:pStyle w:val="Normal2"/>
        <w:ind w:firstLine="720"/>
        <w:contextualSpacing/>
      </w:pPr>
      <w:r>
        <w:t xml:space="preserve">This is the first report of </w:t>
      </w:r>
      <w:r w:rsidR="00C82EF6">
        <w:t>WGS</w:t>
      </w:r>
      <w:r w:rsidR="00F15D47">
        <w:t xml:space="preserve"> on serial isolates</w:t>
      </w:r>
      <w:r>
        <w:t xml:space="preserve"> </w:t>
      </w:r>
      <w:r w:rsidR="00A21D41">
        <w:t xml:space="preserve">to characterize </w:t>
      </w:r>
      <w:r>
        <w:t xml:space="preserve">the emergence of </w:t>
      </w:r>
      <w:r w:rsidR="00CA66B1">
        <w:t>a</w:t>
      </w:r>
      <w:r w:rsidR="000C1143">
        <w:t xml:space="preserve"> </w:t>
      </w:r>
      <w:r>
        <w:t xml:space="preserve">resistance </w:t>
      </w:r>
      <w:r w:rsidR="001D6F71">
        <w:t>mutation</w:t>
      </w:r>
      <w:r>
        <w:t xml:space="preserve"> in </w:t>
      </w:r>
      <w:r w:rsidRPr="00970698">
        <w:rPr>
          <w:i/>
        </w:rPr>
        <w:t>S. maltophilia</w:t>
      </w:r>
      <w:r>
        <w:t xml:space="preserve"> during</w:t>
      </w:r>
      <w:r w:rsidR="001D6F71">
        <w:t xml:space="preserve"> </w:t>
      </w:r>
      <w:r w:rsidR="00334EB9">
        <w:t xml:space="preserve">antibiotic </w:t>
      </w:r>
      <w:r w:rsidR="001D6F71">
        <w:t>treatment</w:t>
      </w:r>
      <w:r w:rsidR="00EF2ED9">
        <w:t xml:space="preserve"> of an active infection</w:t>
      </w:r>
      <w:r w:rsidR="00A21D41">
        <w:t>.</w:t>
      </w:r>
      <w:r w:rsidR="005E2349">
        <w:t xml:space="preserve"> </w:t>
      </w:r>
      <w:r w:rsidR="00B44F21">
        <w:t>In contrast to studies sequencing</w:t>
      </w:r>
      <w:r w:rsidR="00C27333">
        <w:t xml:space="preserve"> highly resistant strains of </w:t>
      </w:r>
      <w:r w:rsidR="00C27333">
        <w:rPr>
          <w:i/>
        </w:rPr>
        <w:t xml:space="preserve">S. maltophilia </w:t>
      </w:r>
      <w:r w:rsidR="00C27333">
        <w:t xml:space="preserve">to reveal various intrinsic and acquired </w:t>
      </w:r>
      <w:r w:rsidR="00AD1A4C">
        <w:t xml:space="preserve">antibiotic resistance genes </w:t>
      </w:r>
      <w:r w:rsidR="00AD1A4C">
        <w:fldChar w:fldCharType="begin" w:fldLock="1"/>
      </w:r>
      <w:r w:rsidR="00CA5A5D">
        <w:instrText>ADDIN CSL_CITATION { "citationItems" : [ { "id" : "ITEM-1", "itemData" : { "DOI" : "10.1186/gb-2008-9-4-r74", "ISBN" : "1465-6914 (Electronic)", "ISSN" : "1465-6906", "PMID" : "18419807", "abstract" : "BACKGROUND: Stenotrophomonas maltophilia is a nosocomial opportunistic pathogen of the Xanthomonadaceae. The organism has been isolated from both clinical and soil environments in addition to the sputum of cystic fibrosis patients and the immunocompromised. Whilst relatively distant phylogenetically, the closest sequenced relatives of S. maltophilia are the plant pathogenic xanthomonads. RESULTS: The genome of the bacteremia-associated isolate S. maltophilia K279a is 4,851,126 bp and of high G+C content. The sequence reveals an organism with a remarkable capacity for drug and heavy metal resistance. In addition to a number of genes conferring resistance to antimicrobial drugs of different classes via alternative mechanisms, nine resistance-nodulation-division (RND)-type putative antimicrobial efflux systems are present. Functional genomic analysis confirms a role in drug resistance for several of the novel RND efflux pumps. S. maltophilia possesses potentially mobile regions of DNA and encodes a number of pili and fimbriae likely to be involved in adhesion and biofilm formation that may also contribute to increased antimicrobial drug resistance. CONCLUSION: The panoply of antimicrobial drug resistance genes and mobile genetic elements found suggests that the organism can act as a reservoir of antimicrobial drug resistance determinants in a clinical environment, which is an issue of considerable concern.", "author" : [ { "dropping-particle" : "", "family" : "Crossman", "given" : "Lisa C", "non-dropping-particle" : "", "parse-names" : false, "suffix" : "" }, { "dropping-particle" : "", "family" : "Gould", "given" : "Virginia C", "non-dropping-particle" : "", "parse-names" : false, "suffix" : "" }, { "dropping-particle" : "", "family" : "Dow", "given" : "J Maxwell", "non-dropping-particle" : "", "parse-names" : false, "suffix" : "" }, { "dropping-particle" : "", "family" : "Vernikos", "given" : "Georgios S", "non-dropping-particle" : "", "parse-names" : false, "suffix" : "" }, { "dropping-particle" : "", "family" : "Okazaki", "given" : "Aki", "non-dropping-particle" : "", "parse-names" : false, "suffix" : "" }, { "dropping-particle" : "", "family" : "Sebaihia", "given" : "Mohammed", "non-dropping-particle" : "", "parse-names" : false, "suffix" : "" }, { "dropping-particle" : "", "family" : "Saunders", "given" : "David", "non-dropping-particle" : "", "parse-names" : false, "suffix" : "" }, { "dropping-particle" : "", "family" : "Arrowsmith", "given" : "Claire", "non-dropping-particle" : "", "parse-names" : false, "suffix" : "" }, { "dropping-particle" : "", "family" : "Carver", "given" : "Tim", "non-dropping-particle" : "", "parse-names" : false, "suffix" : "" }, { "dropping-particle" : "", "family" : "Peters", "given" : "Nicholas", "non-dropping-particle" : "", "parse-names" : false, "suffix" : "" }, { "dropping-particle" : "", "family" : "Adlem", "given" : "Ellen", "non-dropping-particle" : "", "parse-names" : false, "suffix" : "" }, { "dropping-particle" : "", "family" : "Kerhornou", "given" : "Arnaud", "non-dropping-particle" : "", "parse-names" : false, "suffix" : "" }, { "dropping-particle" : "", "family" : "Lord", "given" : "Angela", "non-dropping-particle" : "", "parse-names" : false, "suffix" : "" }, { "dropping-particle" : "", "family" : "Murphy", "given" : "Lee", "non-dropping-particle" : "", "parse-names" : false, "suffix" : "" }, { "dropping-particle" : "", "family" : "Seeger", "given" : "Katharine", "non-dropping-particle" : "", "parse-names" : false, "suffix" : "" }, { "dropping-particle" : "", "family" : "Squares", "given" : "Robert", "non-dropping-particle" : "", "parse-names" : false, "suffix" : "" }, { "dropping-particle" : "", "family" : "Rutter", "given" : "Simon", "non-dropping-particle" : "", "parse-names" : false, "suffix" : "" }, { "dropping-particle" : "", "family" : "Quail", "given" : "Michael A", "non-dropping-particle" : "", "parse-names" : false, "suffix" : "" }, { "dropping-particle" : "", "family" : "Rajandream", "given" : "Mari-Adele", "non-dropping-particle" : "", "parse-names" : false, "suffix" : "" }, { "dropping-particle" : "", "family" : "Harris", "given" : "David", "non-dropping-particle" : "", "parse-names" : false, "suffix" : "" }, { "dropping-particle" : "", "family" : "Churcher", "given" : "Carol", "non-dropping-particle" : "", "parse-names" : false, "suffix" : "" }, { "dropping-particle" : "", "family" : "Bentley", "given" : "Stephen D", "non-dropping-particle" : "", "parse-names" : false, "suffix" : "" }, { "dropping-particle" : "", "family" : "Parkhill", "given" : "Julian", "non-dropping-particle" : "", "parse-names" : false, "suffix" : "" }, { "dropping-particle" : "", "family" : "Thomson", "given" : "Nicholas R", "non-dropping-particle" : "", "parse-names" : false, "suffix" : "" }, { "dropping-particle" : "", "family" : "Avison", "given" : "Matthew B", "non-dropping-particle" : "", "parse-names" : false, "suffix" : "" } ], "container-title" : "Genome biology", "id" : "ITEM-1", "issue" : "4", "issued" : { "date-parts" : [ [ "2008" ] ] }, "page" : "R74", "title" : "The complete genome, comparative and functional analysis of Stenotrophomonas maltophilia reveals an organism heavily shielded by drug resistance determinants.", "type" : "article-journal", "volume" : "9" }, "uris" : [ "http://www.mendeley.com/documents/?uuid=45207bbc-1d57-42c7-b258-eea55dcb025c" ] }, { "id" : "ITEM-2", "itemData" : { "DOI" : "10.1155/2015/580240", "ISSN" : "2314-6141", "PMID" : "25654114", "abstract" : "An S. maltophilia strain named WJ66 was isolated from a patient; WJ66 showed resistance to more antibiotics than the other S. maltophilia strains. This bacteraemia is resistant to sulphonamides, or fluoroquinolones, while the representative strain of S. maltophilia, K279a, is sensitive to both. To explore drug resistance determinants of this strain, the draft genome sequence of WJ66 was determined and compared to other S. maltophilia sequences. Genome sequencing and genome-wide evolutionary analysis revealed that WJ66 was highly homologous with the strain K279a, but strain WJ66 contained additional antibiotic resistance genes. Further analysis confirmed that strain WJ66 contained an amino acid substitution (Q83L) in fluoroquinolone target GyrA and carried a class 1 integron, with an aadA2 gene in the resistance gene cassette. Homology analysis from the pathogen-host interaction database showed that strain WJ66 lacks raxST and raxA, which is consistent with K279a. Comparative genomic analyses revealed that subtle nucleotide differences contribute to various significant phenotypes in close genetic relationship strains.", "author" : [ { "dropping-particle" : "", "family" : "Zhao", "given" : "Yan", "non-dropping-particle" : "", "parse-names" : false, "suffix" : "" }, { "dropping-particle" : "", "family" : "Niu", "given" : "Wenkai", "non-dropping-particle" : "", "parse-names" : false, "suffix" : "" }, { "dropping-particle" : "", "family" : "Sun", "given" : "Yanxia", "non-dropping-particle" : "", "parse-names" : false, "suffix" : "" }, { "dropping-particle" : "", "family" : "Hao", "given" : "Huaijie", "non-dropping-particle" : "", "parse-names" : false, "suffix" : "" }, { "dropping-particle" : "", "family" : "Yu", "given" : "Dong", "non-dropping-particle" : "", "parse-names" : false, "suffix" : "" }, { "dropping-particle" : "", "family" : "Xu", "given" : "Guangyang", "non-dropping-particle" : "", "parse-names" : false, "suffix" : "" }, { "dropping-particle" : "", "family" : "Shang", "given" : "Xueyi", "non-dropping-particle" : "", "parse-names" : false, "suffix" : "" }, { "dropping-particle" : "", "family" : "Tang", "given" : "Xueping", "non-dropping-particle" : "", "parse-names" : false, "suffix" : "" }, { "dropping-particle" : "", "family" : "Lu", "given" : "Sijing", "non-dropping-particle" : "", "parse-names" : false, "suffix" : "" }, { "dropping-particle" : "", "family" : "Yue", "given" : "Junjie", "non-dropping-particle" : "", "parse-names" : false, "suffix" : "" }, { "dropping-particle" : "", "family" : "Li", "given" : "Yan", "non-dropping-particle" : "", "parse-names" : false, "suffix" : "" } ], "container-title" : "BioMed research international", "id" : "ITEM-2", "issued" : { "date-parts" : [ [ "2015" ] ] }, "page" : "580240", "title" : "Identification and characterization of a serious multidrug resistant Stenotrophomonas maltophilia strain in China.", "type" : "article-journal", "volume" : "2015" }, "uris" : [ "http://www.mendeley.com/documents/?uuid=0da8aac1-89e7-467e-a85f-331ec3a56b7c" ] } ], "mendeley" : { "formattedCitation" : "(17, 18)", "plainTextFormattedCitation" : "(17, 18)", "previouslyFormattedCitation" : "(17, 18)" }, "properties" : { "noteIndex" : 0 }, "schema" : "https://github.com/citation-style-language/schema/raw/master/csl-citation.json" }</w:instrText>
      </w:r>
      <w:r w:rsidR="00AD1A4C">
        <w:fldChar w:fldCharType="separate"/>
      </w:r>
      <w:r w:rsidR="00AD1A4C" w:rsidRPr="00AD1A4C">
        <w:rPr>
          <w:noProof/>
        </w:rPr>
        <w:t>(17, 18)</w:t>
      </w:r>
      <w:r w:rsidR="00AD1A4C">
        <w:fldChar w:fldCharType="end"/>
      </w:r>
      <w:r w:rsidR="00AD1A4C">
        <w:t xml:space="preserve">, where </w:t>
      </w:r>
      <w:r w:rsidR="00C27333">
        <w:t xml:space="preserve">it </w:t>
      </w:r>
      <w:r w:rsidR="00AD1A4C">
        <w:t>remains</w:t>
      </w:r>
      <w:r w:rsidR="00C27333">
        <w:t xml:space="preserve"> difficult to </w:t>
      </w:r>
      <w:r w:rsidR="00B44F21">
        <w:t xml:space="preserve">assess their relative </w:t>
      </w:r>
      <w:r w:rsidR="00635FFB">
        <w:t>importance to</w:t>
      </w:r>
      <w:r w:rsidR="00B44F21">
        <w:t xml:space="preserve"> the phenotype</w:t>
      </w:r>
      <w:r w:rsidR="00C27333">
        <w:t>, performing WGS on serial isolates</w:t>
      </w:r>
      <w:r w:rsidR="008556D2">
        <w:t xml:space="preserve"> </w:t>
      </w:r>
      <w:r w:rsidR="006C11EF">
        <w:t>as</w:t>
      </w:r>
      <w:r w:rsidR="00E2241E">
        <w:t xml:space="preserve"> resistance </w:t>
      </w:r>
      <w:r w:rsidR="006C11EF">
        <w:t>emerges</w:t>
      </w:r>
      <w:r w:rsidR="008556D2">
        <w:t xml:space="preserve"> </w:t>
      </w:r>
      <w:r w:rsidR="008556D2">
        <w:rPr>
          <w:i/>
        </w:rPr>
        <w:t>in vivo</w:t>
      </w:r>
      <w:r w:rsidR="008556D2">
        <w:t xml:space="preserve"> allows the causative mutation</w:t>
      </w:r>
      <w:r w:rsidR="009A7F08">
        <w:t>(s)</w:t>
      </w:r>
      <w:r w:rsidR="008556D2">
        <w:t xml:space="preserve"> to be captured.</w:t>
      </w:r>
      <w:r w:rsidR="00B44F21">
        <w:t xml:space="preserve"> </w:t>
      </w:r>
      <w:r w:rsidR="008556D2">
        <w:t>In our patient, t</w:t>
      </w:r>
      <w:r w:rsidR="005E2349">
        <w:t>he mutation wa</w:t>
      </w:r>
      <w:r w:rsidR="00A21D41">
        <w:t xml:space="preserve">s a </w:t>
      </w:r>
      <w:r w:rsidR="00696E5D">
        <w:t xml:space="preserve">SNV </w:t>
      </w:r>
      <w:r w:rsidR="00A21D41">
        <w:t xml:space="preserve">that replicates a variant observed in an </w:t>
      </w:r>
      <w:r w:rsidR="00A21D41">
        <w:rPr>
          <w:i/>
        </w:rPr>
        <w:t>in vitro</w:t>
      </w:r>
      <w:r w:rsidR="00A21D41">
        <w:t xml:space="preserve"> model strain created to study the MDR phenotype in 1997</w:t>
      </w:r>
      <w:r w:rsidR="00F60A01">
        <w:t xml:space="preserve"> </w:t>
      </w:r>
      <w:r w:rsidR="005E2349">
        <w:fldChar w:fldCharType="begin" w:fldLock="1"/>
      </w:r>
      <w:r w:rsidR="007F7A1F">
        <w:instrText>ADDIN CSL_CITATION { "citationItems" : [ { "id" : "ITEM-1",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"ITEM-1", "issue" : "5", "issued" : { "date-parts" : [ [ "1997" ] ] }, "page" : "1140-1142", "title" : "Multiple antibiotic resistance in Stenotrophomonas maltophilia.", "type" : "article-journal", "volume" : "41" }, "uris" : [ "http://www.mendeley.com/documents/?uuid=8c04615a-5e00-43d0-98fb-e903e095b598" ] } ], "mendeley" : { "formattedCitation" : "(4)", "plainTextFormattedCitation" : "(4)", "previouslyFormattedCitation" : "(4)" }, "properties" : { "noteIndex" : 0 }, "schema" : "https://github.com/citation-style-language/schema/raw/master/csl-citation.json" }</w:instrText>
      </w:r>
      <w:r w:rsidR="005E2349">
        <w:fldChar w:fldCharType="separate"/>
      </w:r>
      <w:r w:rsidR="00E60ECD" w:rsidRPr="00E60ECD">
        <w:rPr>
          <w:noProof/>
        </w:rPr>
        <w:t>(4)</w:t>
      </w:r>
      <w:r w:rsidR="005E2349">
        <w:fldChar w:fldCharType="end"/>
      </w:r>
      <w:r w:rsidR="00605AB2">
        <w:t>.</w:t>
      </w:r>
      <w:r w:rsidR="005E2349">
        <w:t xml:space="preserve"> </w:t>
      </w:r>
      <w:r w:rsidR="0047243A">
        <w:t>Using WGS</w:t>
      </w:r>
      <w:r w:rsidR="00A63A6A">
        <w:t xml:space="preserve"> and susceptibility testing</w:t>
      </w:r>
      <w:r w:rsidR="0047243A">
        <w:t>, w</w:t>
      </w:r>
      <w:r w:rsidR="00B46BB3">
        <w:t>e</w:t>
      </w:r>
      <w:r w:rsidR="00180D7F">
        <w:t xml:space="preserve"> </w:t>
      </w:r>
      <w:r w:rsidR="009A7F08">
        <w:t>can</w:t>
      </w:r>
      <w:r w:rsidR="0027460F">
        <w:t xml:space="preserve"> </w:t>
      </w:r>
      <w:r w:rsidR="00180D7F">
        <w:t>confirm</w:t>
      </w:r>
      <w:r w:rsidR="00B46BB3">
        <w:t xml:space="preserve"> </w:t>
      </w:r>
      <w:r w:rsidR="00180D7F">
        <w:t xml:space="preserve">that this </w:t>
      </w:r>
      <w:r w:rsidR="00897635">
        <w:t>SNV</w:t>
      </w:r>
      <w:r w:rsidR="00B46BB3">
        <w:t xml:space="preserve"> </w:t>
      </w:r>
      <w:r w:rsidR="00EC281F">
        <w:t>was the only</w:t>
      </w:r>
      <w:r w:rsidR="00217C4A">
        <w:t xml:space="preserve"> </w:t>
      </w:r>
      <w:r w:rsidR="00E65BC8">
        <w:lastRenderedPageBreak/>
        <w:t xml:space="preserve">variant </w:t>
      </w:r>
      <w:r w:rsidR="007B09BE">
        <w:t xml:space="preserve">to emerge </w:t>
      </w:r>
      <w:r w:rsidR="009762F8">
        <w:t>and</w:t>
      </w:r>
      <w:r w:rsidR="00B47F38">
        <w:t xml:space="preserve"> that</w:t>
      </w:r>
      <w:r w:rsidR="009762F8">
        <w:t xml:space="preserve"> </w:t>
      </w:r>
      <w:r w:rsidR="006B7296">
        <w:t xml:space="preserve">it </w:t>
      </w:r>
      <w:r w:rsidR="00401A4C">
        <w:t>was</w:t>
      </w:r>
      <w:r w:rsidR="009762F8">
        <w:t xml:space="preserve"> </w:t>
      </w:r>
      <w:r w:rsidR="00484866">
        <w:t xml:space="preserve">sufficient to confer </w:t>
      </w:r>
      <w:r w:rsidR="00316A53">
        <w:t xml:space="preserve">quinolone </w:t>
      </w:r>
      <w:r w:rsidR="00753530">
        <w:t>resistance</w:t>
      </w:r>
      <w:r w:rsidR="00963CD2">
        <w:t xml:space="preserve"> in a clinical case</w:t>
      </w:r>
      <w:r w:rsidR="00DE00A7">
        <w:t>. T</w:t>
      </w:r>
      <w:r w:rsidR="00FA138B">
        <w:t>his</w:t>
      </w:r>
      <w:r w:rsidR="008218C1" w:rsidRPr="009829EA">
        <w:t xml:space="preserve"> </w:t>
      </w:r>
      <w:r w:rsidR="001669F6">
        <w:t xml:space="preserve">underscores </w:t>
      </w:r>
      <w:r w:rsidR="00021FDE">
        <w:t>the</w:t>
      </w:r>
      <w:r w:rsidR="001669F6">
        <w:t xml:space="preserve"> </w:t>
      </w:r>
      <w:r w:rsidR="009829EA">
        <w:t xml:space="preserve">need </w:t>
      </w:r>
      <w:r w:rsidR="00E208E3">
        <w:t xml:space="preserve">for clinicians </w:t>
      </w:r>
      <w:r w:rsidR="009829EA">
        <w:t>to</w:t>
      </w:r>
      <w:r w:rsidR="001669F6">
        <w:t xml:space="preserve"> </w:t>
      </w:r>
      <w:r w:rsidR="00334FC2">
        <w:t xml:space="preserve">consider </w:t>
      </w:r>
      <w:r w:rsidR="001669F6">
        <w:t>repeat</w:t>
      </w:r>
      <w:r w:rsidR="00D03DD0">
        <w:t>ing</w:t>
      </w:r>
      <w:r w:rsidR="001669F6">
        <w:t xml:space="preserve"> DST</w:t>
      </w:r>
      <w:r w:rsidR="00D03DD0">
        <w:t xml:space="preserve"> during monoth</w:t>
      </w:r>
      <w:r w:rsidR="006F0AC4">
        <w:t>erapy</w:t>
      </w:r>
      <w:r w:rsidR="00FE5365">
        <w:t xml:space="preserve"> if clinical signs suggest therapy failure</w:t>
      </w:r>
      <w:r w:rsidR="001669F6">
        <w:t>.</w:t>
      </w:r>
    </w:p>
    <w:p w14:paraId="4152A941" w14:textId="58237148" w:rsidR="005E2349" w:rsidRDefault="00A21D41" w:rsidP="005E2349">
      <w:pPr>
        <w:pStyle w:val="Normal2"/>
        <w:ind w:firstLine="720"/>
        <w:contextualSpacing/>
      </w:pPr>
      <w:proofErr w:type="spellStart"/>
      <w:r>
        <w:rPr>
          <w:i/>
        </w:rPr>
        <w:t>smeT</w:t>
      </w:r>
      <w:proofErr w:type="spellEnd"/>
      <w:r>
        <w:t xml:space="preserve"> appears to play a central role in ada</w:t>
      </w:r>
      <w:r w:rsidR="005E2349">
        <w:t xml:space="preserve">ptive resistance to quinolones </w:t>
      </w:r>
      <w:r>
        <w:t xml:space="preserve">and other </w:t>
      </w:r>
      <w:r w:rsidR="008B7B07">
        <w:t>antibiotics</w:t>
      </w:r>
      <w:r w:rsidR="008B7B07" w:rsidDel="008B7B07">
        <w:t xml:space="preserve"> </w:t>
      </w:r>
      <w:proofErr w:type="spellStart"/>
      <w:r>
        <w:t>effluxed</w:t>
      </w:r>
      <w:proofErr w:type="spellEnd"/>
      <w:r>
        <w:t xml:space="preserve"> by </w:t>
      </w:r>
      <w:proofErr w:type="spellStart"/>
      <w:r>
        <w:rPr>
          <w:i/>
        </w:rPr>
        <w:t>smeDEF</w:t>
      </w:r>
      <w:proofErr w:type="spellEnd"/>
      <w:r w:rsidR="00D11C68">
        <w:t>,</w:t>
      </w:r>
      <w:r>
        <w:t xml:space="preserve"> like tetracycline, chloramphenicol, erythromycin, and am</w:t>
      </w:r>
      <w:r w:rsidR="005E2349">
        <w:t>inoglycosides</w:t>
      </w:r>
      <w:r>
        <w:t>.</w:t>
      </w:r>
      <w:r w:rsidR="005E2349">
        <w:t xml:space="preserve"> </w:t>
      </w:r>
      <w:r>
        <w:t xml:space="preserve">Since any mutation that inactivates this protein would be able to </w:t>
      </w:r>
      <w:proofErr w:type="spellStart"/>
      <w:r>
        <w:t>derepress</w:t>
      </w:r>
      <w:proofErr w:type="spellEnd"/>
      <w:r>
        <w:t xml:space="preserve"> </w:t>
      </w:r>
      <w:proofErr w:type="spellStart"/>
      <w:r>
        <w:rPr>
          <w:i/>
        </w:rPr>
        <w:t>smeDEF</w:t>
      </w:r>
      <w:proofErr w:type="spellEnd"/>
      <w:r>
        <w:t xml:space="preserve"> and confer resistance, </w:t>
      </w:r>
      <w:proofErr w:type="spellStart"/>
      <w:r>
        <w:rPr>
          <w:i/>
        </w:rPr>
        <w:t>smeT</w:t>
      </w:r>
      <w:proofErr w:type="spellEnd"/>
      <w:r>
        <w:t xml:space="preserve"> </w:t>
      </w:r>
      <w:r w:rsidR="002A099F">
        <w:t xml:space="preserve">is </w:t>
      </w:r>
      <w:r>
        <w:t xml:space="preserve">under intense selective pressure in the presence of these </w:t>
      </w:r>
      <w:r w:rsidR="00DE193A">
        <w:t>drugs</w:t>
      </w:r>
      <w:r>
        <w:t>.</w:t>
      </w:r>
      <w:r w:rsidR="005E2349">
        <w:t xml:space="preserve"> </w:t>
      </w:r>
      <w:r>
        <w:t xml:space="preserve">In this study, we observed not only a deleterious </w:t>
      </w:r>
      <w:r w:rsidR="00696E5D">
        <w:t xml:space="preserve">SNV </w:t>
      </w:r>
      <w:r>
        <w:t xml:space="preserve">in the strain that </w:t>
      </w:r>
      <w:r w:rsidR="001F12BB">
        <w:t xml:space="preserve">displayed </w:t>
      </w:r>
      <w:r>
        <w:t>resistance</w:t>
      </w:r>
      <w:r w:rsidR="00F13522">
        <w:t xml:space="preserve"> (</w:t>
      </w:r>
      <w:r w:rsidR="005D1D31">
        <w:t>ISMMS2R</w:t>
      </w:r>
      <w:r w:rsidR="00F13522">
        <w:t>)</w:t>
      </w:r>
      <w:r>
        <w:t>, but a premature stop codon in</w:t>
      </w:r>
      <w:r w:rsidR="00A01F50">
        <w:t xml:space="preserve"> </w:t>
      </w:r>
      <w:proofErr w:type="spellStart"/>
      <w:r w:rsidR="00CA3F58">
        <w:rPr>
          <w:i/>
        </w:rPr>
        <w:t>smeT</w:t>
      </w:r>
      <w:proofErr w:type="spellEnd"/>
      <w:r w:rsidR="00A01F50">
        <w:t xml:space="preserve"> in</w:t>
      </w:r>
      <w:r>
        <w:t xml:space="preserve"> </w:t>
      </w:r>
      <w:r w:rsidR="00F13522">
        <w:t>a</w:t>
      </w:r>
      <w:r>
        <w:t xml:space="preserve"> strain that was already resistant at </w:t>
      </w:r>
      <w:r w:rsidR="00796EE9">
        <w:t>first</w:t>
      </w:r>
      <w:r>
        <w:t xml:space="preserve"> isolation (</w:t>
      </w:r>
      <w:r w:rsidR="005D1D31">
        <w:t>ISMMS4</w:t>
      </w:r>
      <w:r>
        <w:t>).</w:t>
      </w:r>
      <w:r w:rsidR="005E2349">
        <w:t xml:space="preserve"> </w:t>
      </w:r>
      <w:r>
        <w:t>Certain</w:t>
      </w:r>
      <w:bookmarkStart w:id="13" w:name="_GoBack"/>
      <w:bookmarkEnd w:id="13"/>
      <w:r>
        <w:t xml:space="preserve"> nucleotide positions appear to be under greater selective pressure than others, as evidenced by our observation of the same mutation </w:t>
      </w:r>
      <w:r w:rsidR="00C427E7">
        <w:t xml:space="preserve">that </w:t>
      </w:r>
      <w:r w:rsidR="000C4EA5">
        <w:t xml:space="preserve">occurred </w:t>
      </w:r>
      <w:r>
        <w:t xml:space="preserve">in D457R, and a relative paucity of </w:t>
      </w:r>
      <w:proofErr w:type="spellStart"/>
      <w:r>
        <w:t>nonsynonymous</w:t>
      </w:r>
      <w:proofErr w:type="spellEnd"/>
      <w:r>
        <w:t xml:space="preserve"> coding mutations in </w:t>
      </w:r>
      <w:proofErr w:type="spellStart"/>
      <w:r>
        <w:rPr>
          <w:i/>
        </w:rPr>
        <w:t>smeT</w:t>
      </w:r>
      <w:proofErr w:type="spellEnd"/>
      <w:r>
        <w:t xml:space="preserve"> observed among clinical </w:t>
      </w:r>
      <w:proofErr w:type="spellStart"/>
      <w:r>
        <w:rPr>
          <w:i/>
        </w:rPr>
        <w:t>smeT</w:t>
      </w:r>
      <w:proofErr w:type="spellEnd"/>
      <w:r w:rsidR="005E2349">
        <w:t xml:space="preserve"> isolates</w:t>
      </w:r>
      <w:r w:rsidR="00F60A01">
        <w:t xml:space="preserve"> </w:t>
      </w:r>
      <w:r w:rsidR="005E2349">
        <w:fldChar w:fldCharType="begin" w:fldLock="1"/>
      </w:r>
      <w:r w:rsidR="00CA5A5D">
        <w:instrText>ADDIN CSL_CITATION { "citationItems" : [ { "id" : "ITEM-1", "itemData" : { "DOI" : "10.1128/AAC.48.6.2274-2276.2004", "ISSN" : "00664804", "PMID" : "15155232", "abstract" : "The smeT-smeDEF region and the smeT gene, which encodes the smeDEF repressor, are highly polymorphic. Few changes in smeT might be associated with smeDEF overexpression. The results obtained with cellular extracts suggest that mutant SmeT proteins cannot bind to the operator and that other transcription factors besides SmeT are involved in the regulation of smeDEF expression.", "author" : [ { "dropping-particle" : "", "family" : "Sanchez",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"6", "issued" : { "date-parts" : [ [ "2004" ] ] }, "page" : "2274-2276", "title" : "Regulatory regions of smeDEF in Stenotrophomonas maltophilia strains expressing different amounts of the multidrug efflux pump SmeDEF", "type" : "article-journal", "volume" : "48" }, "uris" : [ "http://www.mendeley.com/documents/?uuid=6e1f9f2c-4a41-4a16-9fd7-1cb0dbd7acf3" ] } ], "mendeley" : { "formattedCitation" : "(19)", "plainTextFormattedCitation" : "(19)", "previouslyFormattedCitation" : "(19)" }, "properties" : { "noteIndex" : 0 }, "schema" : "https://github.com/citation-style-language/schema/raw/master/csl-citation.json" }</w:instrText>
      </w:r>
      <w:r w:rsidR="005E2349">
        <w:fldChar w:fldCharType="separate"/>
      </w:r>
      <w:r w:rsidR="00AD1A4C" w:rsidRPr="00AD1A4C">
        <w:rPr>
          <w:noProof/>
        </w:rPr>
        <w:t>(19)</w:t>
      </w:r>
      <w:r w:rsidR="005E2349">
        <w:fldChar w:fldCharType="end"/>
      </w:r>
      <w:r w:rsidR="00C427E7">
        <w:t>.</w:t>
      </w:r>
      <w:r w:rsidR="005E2349">
        <w:t xml:space="preserve"> </w:t>
      </w:r>
      <w:r>
        <w:t xml:space="preserve">Since </w:t>
      </w:r>
      <w:r w:rsidR="00FA1666">
        <w:t xml:space="preserve">sustained </w:t>
      </w:r>
      <w:r>
        <w:t xml:space="preserve">overexpression of </w:t>
      </w:r>
      <w:proofErr w:type="spellStart"/>
      <w:r>
        <w:rPr>
          <w:i/>
        </w:rPr>
        <w:t>smeDEF</w:t>
      </w:r>
      <w:proofErr w:type="spellEnd"/>
      <w:r w:rsidR="005E2349">
        <w:t xml:space="preserve"> is physiologically unfavorable</w:t>
      </w:r>
      <w:r w:rsidR="00F60A01">
        <w:t xml:space="preserve"> </w:t>
      </w:r>
      <w:r w:rsidR="005E2349">
        <w:fldChar w:fldCharType="begin" w:fldLock="1"/>
      </w:r>
      <w:r w:rsidR="00CA5A5D">
        <w:instrText>ADDIN CSL_CITATION { "citationItems" : [ { "id" : "ITEM-1", "itemData" : { "DOI" : "10.1093/jac/dkh074", "ISBN" : "0305-7453 (Print)\\n0305-7453 (Linking)", "ISSN" : "03057453", "PMID" : "14739147", "abstract" : "OBJECTIVES: The use of antibiotics for the treatment of infectious diseases has led to important changes in the structure of pathogenic bacterial populations. However, these changes could be buffered if the expression of antibiotic resistance genes were to lead to the counter-selection of antibiotic-resistant strains in antibiotic-free environments. To test the effect of antibiotic resistance on bacterial fitness, we analysed the effect of the overproduction of the multidrug efflux pump SmeDEF on the physiology of Stenotrophomonas maltophilia. SmeDEF confers resistance to antibiotics belonging to different structural families, and its overexpression is associated with an antibiotic resistance phenotype in clinical isolates of S. maltophilia. RESULTS: Two S. maltophilia isogenic strains were analysed: the wild-type strain D457 and strain D457R, which is a SmeDEF overproducer. In co-culture experiments, under non-selective pressure the wild-type strain displaced the mutant strain D457R. Metabolic profiling showed that SmeDEF overproduction leads to several changes in S. maltophilia metabolism. Using a Dictyostelium discoideum model of bacterial virulence, we found overexpression of SmeDEF to be associated with a reduction in S. maltophilia virulence. CONCLUSIONS: Together, these data indicate that overexpression of the multidrug efflux pump SmeDEF causes a metabolic burden for S. maltophilia.", "author" : [ { "dropping-particle" : "", "family" : "Alonso", "given" : "Ana", "non-dropping-particle" : "", "parse-names" : false, "suffix" : "" }, { "dropping-particle" : "", "family" : "Morales", "given" : "Garcia", "non-dropping-particle" : "", "parse-names" : false, "suffix" : "" }, { "dropping-particle" : "", "family" : "Escalante", "given" : "Ricardo", "non-dropping-particle" : "", "parse-names" : false, "suffix" : "" }, { "dropping-particle" : "", "family" : "Campanario", "given" : "Ester", "non-dropping-particle" : "", "parse-names" : false, "suffix" : "" }, { "dropping-particle" : "", "family" : "Sastre", "given" : "Leandro", "non-dropping-particle" : "", "parse-names" : false, "suffix" : "" }, { "dropping-particle" : "", "family" : "Martinez", "given" : "Jose L.", "non-dropping-particle" : "", "parse-names" : false, "suffix" : "" } ], "container-title" : "Journal of Antimicrobial Chemotherapy", "id" : "ITEM-1", "issue" : "3", "issued" : { "date-parts" : [ [ "2004" ] ] }, "page" : "432-434", "title" : "Overexpression of the multidrug efflux pump SmeDEF impairs Stenotrophomonas maltophilia physiology", "type" : "article-journal", "volume" : "53" }, "uris" : [ "http://www.mendeley.com/documents/?uuid=2fd8a9cc-06d1-4e78-aca7-72d506dc7960" ] } ], "mendeley" : { "formattedCitation" : "(20)", "plainTextFormattedCitation" : "(20)", "previouslyFormattedCitation" : "(20)" }, "properties" : { "noteIndex" : 0 }, "schema" : "https://github.com/citation-style-language/schema/raw/master/csl-citation.json" }</w:instrText>
      </w:r>
      <w:r w:rsidR="005E2349">
        <w:fldChar w:fldCharType="separate"/>
      </w:r>
      <w:r w:rsidR="00AD1A4C" w:rsidRPr="00AD1A4C">
        <w:rPr>
          <w:noProof/>
        </w:rPr>
        <w:t>(20)</w:t>
      </w:r>
      <w:r w:rsidR="005E2349">
        <w:fldChar w:fldCharType="end"/>
      </w:r>
      <w:r w:rsidR="00F63078">
        <w:t>,</w:t>
      </w:r>
      <w:r>
        <w:t xml:space="preserve"> it is possible that pathogenic strains of </w:t>
      </w:r>
      <w:r>
        <w:rPr>
          <w:i/>
        </w:rPr>
        <w:t>S. maltophilia</w:t>
      </w:r>
      <w:r>
        <w:t xml:space="preserve"> </w:t>
      </w:r>
      <w:r w:rsidR="0097513B">
        <w:t>rely on</w:t>
      </w:r>
      <w:r w:rsidR="00D77FD1">
        <w:t xml:space="preserve"> natural diversit</w:t>
      </w:r>
      <w:r w:rsidR="002537CA">
        <w:t xml:space="preserve">y </w:t>
      </w:r>
      <w:r w:rsidR="000E51DA">
        <w:t>of mutations</w:t>
      </w:r>
      <w:r w:rsidR="005E2349">
        <w:t xml:space="preserve"> in the </w:t>
      </w:r>
      <w:proofErr w:type="spellStart"/>
      <w:r>
        <w:rPr>
          <w:i/>
        </w:rPr>
        <w:t>smeT</w:t>
      </w:r>
      <w:proofErr w:type="spellEnd"/>
      <w:r>
        <w:t xml:space="preserve"> </w:t>
      </w:r>
      <w:r w:rsidR="00FE3409">
        <w:t xml:space="preserve">locus </w:t>
      </w:r>
      <w:r w:rsidR="005E2349">
        <w:t xml:space="preserve">to activate or deactivate </w:t>
      </w:r>
      <w:proofErr w:type="spellStart"/>
      <w:r w:rsidR="005E2349">
        <w:rPr>
          <w:i/>
        </w:rPr>
        <w:t>smeDEF</w:t>
      </w:r>
      <w:proofErr w:type="spellEnd"/>
      <w:r w:rsidR="005E2349">
        <w:t xml:space="preserve"> expression</w:t>
      </w:r>
      <w:r>
        <w:t xml:space="preserve">, allowing for rapid </w:t>
      </w:r>
      <w:r w:rsidR="00B71A09">
        <w:t>adaptation</w:t>
      </w:r>
      <w:r>
        <w:t xml:space="preserve"> to antibiotic stress</w:t>
      </w:r>
      <w:r w:rsidR="0072737E">
        <w:t>, though</w:t>
      </w:r>
      <w:r>
        <w:t xml:space="preserve"> further study</w:t>
      </w:r>
      <w:r w:rsidR="0072737E">
        <w:t xml:space="preserve"> is needed</w:t>
      </w:r>
      <w:r>
        <w:t>.</w:t>
      </w:r>
    </w:p>
    <w:p w14:paraId="7170A0A0" w14:textId="458E608B" w:rsidR="008201CA" w:rsidRDefault="000D6970" w:rsidP="001E16A3">
      <w:pPr>
        <w:pStyle w:val="Normal2"/>
        <w:ind w:firstLine="720"/>
        <w:contextualSpacing/>
      </w:pPr>
      <w:r>
        <w:t>Since</w:t>
      </w:r>
      <w:r w:rsidR="00DB2D43">
        <w:t xml:space="preserve"> </w:t>
      </w:r>
      <w:r>
        <w:t xml:space="preserve">resistance from </w:t>
      </w:r>
      <w:r w:rsidR="00DB2D43">
        <w:t xml:space="preserve">a single </w:t>
      </w:r>
      <w:r w:rsidR="00696E5D">
        <w:t>SNV</w:t>
      </w:r>
      <w:r w:rsidR="002A099F">
        <w:t xml:space="preserve"> </w:t>
      </w:r>
      <w:r w:rsidR="00707D08">
        <w:t>emerg</w:t>
      </w:r>
      <w:r>
        <w:t>ed</w:t>
      </w:r>
      <w:r w:rsidR="00707D08">
        <w:t xml:space="preserve"> </w:t>
      </w:r>
      <w:r>
        <w:t xml:space="preserve">during </w:t>
      </w:r>
      <w:r w:rsidR="002A099F">
        <w:t xml:space="preserve">a </w:t>
      </w:r>
      <w:r>
        <w:t xml:space="preserve">short </w:t>
      </w:r>
      <w:r w:rsidR="002A099F">
        <w:t>course of ciprofloxacin</w:t>
      </w:r>
      <w:r w:rsidR="003F133E">
        <w:t xml:space="preserve">, </w:t>
      </w:r>
      <w:r>
        <w:t xml:space="preserve">clinicians should be cautioned about </w:t>
      </w:r>
      <w:r w:rsidR="00D0149C">
        <w:t xml:space="preserve">using </w:t>
      </w:r>
      <w:r>
        <w:t xml:space="preserve">quinolone </w:t>
      </w:r>
      <w:r w:rsidR="00A21D41">
        <w:t xml:space="preserve">monotherapy for </w:t>
      </w:r>
      <w:r w:rsidR="00A21D41">
        <w:rPr>
          <w:i/>
        </w:rPr>
        <w:t>S. maltophilia</w:t>
      </w:r>
      <w:r w:rsidR="00A21D41">
        <w:t xml:space="preserve"> </w:t>
      </w:r>
      <w:r w:rsidR="00591BB1">
        <w:t>bacteremia</w:t>
      </w:r>
      <w:r w:rsidR="00D0149C">
        <w:t>,</w:t>
      </w:r>
      <w:r>
        <w:t xml:space="preserve"> as </w:t>
      </w:r>
      <w:r w:rsidR="009F5C85">
        <w:t>highlighted</w:t>
      </w:r>
      <w:r w:rsidR="00591BB1">
        <w:t xml:space="preserve"> </w:t>
      </w:r>
      <w:r w:rsidR="0098274C">
        <w:t>in</w:t>
      </w:r>
      <w:r w:rsidR="00591BB1">
        <w:t xml:space="preserve"> recent retrospective studies</w:t>
      </w:r>
      <w:r w:rsidR="00F60A01">
        <w:t xml:space="preserve"> </w:t>
      </w:r>
      <w:r w:rsidR="00591BB1">
        <w:fldChar w:fldCharType="begin" w:fldLock="1"/>
      </w:r>
      <w:r w:rsidR="00CA5A5D">
        <w:instrText>ADDIN CSL_CITATION { "citationItems" : [ { "id" : "ITEM-1",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"ITEM-1", "issue" : "1", "issued" : { "date-parts" : [ [ "2014" ] ] }, "page" : "581-583", "title" : "Can levofloxacin be a useful alternative to trimethoprim-sulfamethoxazole for treating Stenotrophomonas maltophilia bacteremia?", "type" : "article-journal", "volume" : "58" }, "uris" : [ "http://www.mendeley.com/documents/?uuid=69c1a89d-6453-4f45-9797-2051c37b4ce3" ] }, { "id" : "ITEM-2",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"ITEM-2",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"(21, 22)", "plainTextFormattedCitation" : "(21, 22)", "previouslyFormattedCitation" : "(21, 22)" }, "properties" : { "noteIndex" : 0 }, "schema" : "https://github.com/citation-style-language/schema/raw/master/csl-citation.json" }</w:instrText>
      </w:r>
      <w:r w:rsidR="00591BB1">
        <w:fldChar w:fldCharType="separate"/>
      </w:r>
      <w:r w:rsidR="00AD1A4C" w:rsidRPr="00AD1A4C">
        <w:rPr>
          <w:noProof/>
        </w:rPr>
        <w:t>(21, 22)</w:t>
      </w:r>
      <w:r w:rsidR="00591BB1">
        <w:fldChar w:fldCharType="end"/>
      </w:r>
      <w:r w:rsidR="00A21D41">
        <w:t>.</w:t>
      </w:r>
      <w:r w:rsidR="00260319">
        <w:t xml:space="preserve"> The wide variety of </w:t>
      </w:r>
      <w:r w:rsidR="00C37D61">
        <w:t>MDR</w:t>
      </w:r>
      <w:r w:rsidR="00577AAF">
        <w:t xml:space="preserve"> </w:t>
      </w:r>
      <w:r w:rsidR="00260319">
        <w:t xml:space="preserve">phenotypes and unreliability of DST results has created uncertainty about appropriate treatment for </w:t>
      </w:r>
      <w:r w:rsidR="00260319">
        <w:rPr>
          <w:i/>
        </w:rPr>
        <w:t>S. maltophilia</w:t>
      </w:r>
      <w:r w:rsidR="00260319">
        <w:t xml:space="preserve">, but </w:t>
      </w:r>
      <w:r w:rsidR="00251B5E">
        <w:t>SXT</w:t>
      </w:r>
      <w:r w:rsidR="00260319">
        <w:t xml:space="preserve"> remains the most common choice for monotherapy</w:t>
      </w:r>
      <w:r w:rsidR="00F60A01">
        <w:t xml:space="preserve"> </w:t>
      </w:r>
      <w:r w:rsidR="00226ED5">
        <w:fldChar w:fldCharType="begin" w:fldLock="1"/>
      </w:r>
      <w:r w:rsidR="00CA5A5D">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"id" : "ITEM-2",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"ITEM-2", "issue" : "1", "issued" : { "date-parts" : [ [ "2014" ] ] }, "page" : "581-583", "title" : "Can levofloxacin be a useful alternative to trimethoprim-sulfamethoxazole for treating Stenotrophomonas maltophilia bacteremia?", "type" : "article-journal", "volume" : "58" }, "uris" : [ "http://www.mendeley.com/documents/?uuid=69c1a89d-6453-4f45-9797-2051c37b4ce3" ] }, { "id" : "ITEM-3",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"ITEM-3",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"(1, 21, 22)", "plainTextFormattedCitation" : "(1, 21, 22)", "previouslyFormattedCitation" : "(1, 21, 22)" }, "properties" : { "noteIndex" : 0 }, "schema" : "https://github.com/citation-style-language/schema/raw/master/csl-citation.json" }</w:instrText>
      </w:r>
      <w:r w:rsidR="00226ED5">
        <w:fldChar w:fldCharType="separate"/>
      </w:r>
      <w:r w:rsidR="00AD1A4C" w:rsidRPr="00AD1A4C">
        <w:rPr>
          <w:noProof/>
        </w:rPr>
        <w:t>(1, 21, 22)</w:t>
      </w:r>
      <w:r w:rsidR="00226ED5">
        <w:fldChar w:fldCharType="end"/>
      </w:r>
      <w:r w:rsidR="00F301E0">
        <w:t>.</w:t>
      </w:r>
      <w:r w:rsidR="00260319">
        <w:t xml:space="preserve"> </w:t>
      </w:r>
      <w:r w:rsidR="00251B5E">
        <w:t>SXT</w:t>
      </w:r>
      <w:r w:rsidR="00A21D41">
        <w:t xml:space="preserve"> resistance in </w:t>
      </w:r>
      <w:r w:rsidR="00A21D41">
        <w:rPr>
          <w:i/>
        </w:rPr>
        <w:t>S. maltophilia</w:t>
      </w:r>
      <w:r w:rsidR="00A21D41">
        <w:t xml:space="preserve"> is not known to be caused by efflux systems </w:t>
      </w:r>
      <w:r>
        <w:t xml:space="preserve">but </w:t>
      </w:r>
      <w:r w:rsidR="00A21D41">
        <w:t xml:space="preserve">has been linked to Class 1 </w:t>
      </w:r>
      <w:proofErr w:type="spellStart"/>
      <w:r w:rsidR="00A21D41">
        <w:t>integrons</w:t>
      </w:r>
      <w:proofErr w:type="spellEnd"/>
      <w:r w:rsidR="00A21D41">
        <w:t xml:space="preserve"> and IS</w:t>
      </w:r>
      <w:r w:rsidR="00A21D41">
        <w:rPr>
          <w:i/>
        </w:rPr>
        <w:t>CR</w:t>
      </w:r>
      <w:r w:rsidR="00A21D41">
        <w:t xml:space="preserve"> elements</w:t>
      </w:r>
      <w:r w:rsidR="00F60A01">
        <w:t xml:space="preserve"> </w:t>
      </w:r>
      <w:r w:rsidR="00B518A6">
        <w:fldChar w:fldCharType="begin" w:fldLock="1"/>
      </w:r>
      <w:r w:rsidR="007F7A1F">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"(1)", "plainTextFormattedCitation" : "(1)", "previouslyFormattedCitation" : "(1)" }, "properties" : { "noteIndex" : 0 }, "schema" : "https://github.com/citation-style-language/schema/raw/master/csl-citation.json" }</w:instrText>
      </w:r>
      <w:r w:rsidR="00B518A6">
        <w:fldChar w:fldCharType="separate"/>
      </w:r>
      <w:r w:rsidR="00E60ECD" w:rsidRPr="00E60ECD">
        <w:rPr>
          <w:noProof/>
        </w:rPr>
        <w:t>(1)</w:t>
      </w:r>
      <w:r w:rsidR="00B518A6">
        <w:fldChar w:fldCharType="end"/>
      </w:r>
      <w:r w:rsidR="00A21D41">
        <w:t xml:space="preserve">. This suggests that spontaneous resistance is less likely to emerge with </w:t>
      </w:r>
      <w:r w:rsidR="00251B5E">
        <w:t>SXT</w:t>
      </w:r>
      <w:r w:rsidR="00A21D41">
        <w:t xml:space="preserve"> monotherapy</w:t>
      </w:r>
      <w:r w:rsidR="000907C5">
        <w:t>,</w:t>
      </w:r>
      <w:r w:rsidR="00A21D41">
        <w:t xml:space="preserve"> although </w:t>
      </w:r>
      <w:r w:rsidR="00B17B46">
        <w:t>a clinical trial</w:t>
      </w:r>
      <w:r w:rsidR="003E3BFA">
        <w:t xml:space="preserve"> comparing </w:t>
      </w:r>
      <w:r w:rsidR="00B17B46">
        <w:t xml:space="preserve">the two </w:t>
      </w:r>
      <w:r>
        <w:t xml:space="preserve">antibiotics </w:t>
      </w:r>
      <w:r w:rsidR="003E3BFA">
        <w:t>is warranted</w:t>
      </w:r>
      <w:r w:rsidR="00F60A01">
        <w:t xml:space="preserve"> </w:t>
      </w:r>
      <w:r w:rsidR="00B17B46">
        <w:fldChar w:fldCharType="begin" w:fldLock="1"/>
      </w:r>
      <w:r w:rsidR="00CA5A5D">
        <w:instrText>ADDIN CSL_CITATION { "citationItems" : [ { "id" : "ITEM-1",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"ITEM-1", "issue" : "1", "issued" : { "date-parts" : [ [ "2014" ] ] }, "page" : "581-583", "title" : "Can levofloxacin be a useful alternative to trimethoprim-sulfamethoxazole for treating Stenotrophomonas maltophilia bacteremia?", "type" : "article-journal", "volume" : "58" }, "uris" : [ "http://www.mendeley.com/documents/?uuid=69c1a89d-6453-4f45-9797-2051c37b4ce3" ] }, { "id" : "ITEM-2",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"ITEM-2",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"(21, 22)", "plainTextFormattedCitation" : "(21, 22)", "previouslyFormattedCitation" : "(21, 22)" }, "properties" : { "noteIndex" : 0 }, "schema" : "https://github.com/citation-style-language/schema/raw/master/csl-citation.json" }</w:instrText>
      </w:r>
      <w:r w:rsidR="00B17B46">
        <w:fldChar w:fldCharType="separate"/>
      </w:r>
      <w:r w:rsidR="00AD1A4C" w:rsidRPr="00AD1A4C">
        <w:rPr>
          <w:noProof/>
        </w:rPr>
        <w:t>(21, 22)</w:t>
      </w:r>
      <w:r w:rsidR="00B17B46">
        <w:fldChar w:fldCharType="end"/>
      </w:r>
      <w:r w:rsidR="002772E5">
        <w:t>.</w:t>
      </w:r>
    </w:p>
    <w:p w14:paraId="613EDB8A" w14:textId="558A5F96" w:rsidR="0027563E" w:rsidRDefault="003E593E" w:rsidP="001E16A3">
      <w:pPr>
        <w:pStyle w:val="Normal2"/>
        <w:ind w:firstLine="720"/>
        <w:contextualSpacing/>
      </w:pPr>
      <w:r>
        <w:lastRenderedPageBreak/>
        <w:t>In conclusion, c</w:t>
      </w:r>
      <w:r w:rsidR="002772E5">
        <w:t>haracterizing the full extent of genetic alterations that</w:t>
      </w:r>
      <w:r w:rsidR="00A21D41">
        <w:t xml:space="preserve"> </w:t>
      </w:r>
      <w:r w:rsidR="00A21D41">
        <w:rPr>
          <w:i/>
        </w:rPr>
        <w:t>S. maltophilia</w:t>
      </w:r>
      <w:r w:rsidR="00A21D41">
        <w:t xml:space="preserve"> </w:t>
      </w:r>
      <w:r w:rsidR="002772E5">
        <w:t>utilizes to</w:t>
      </w:r>
      <w:r w:rsidR="00A21D41">
        <w:t xml:space="preserve"> develop antibiotic resistance </w:t>
      </w:r>
      <w:r w:rsidR="00A21D41">
        <w:rPr>
          <w:i/>
        </w:rPr>
        <w:t>in vivo</w:t>
      </w:r>
      <w:r w:rsidR="002772E5">
        <w:t xml:space="preserve"> and </w:t>
      </w:r>
      <w:r w:rsidR="004C3215">
        <w:t xml:space="preserve">improving </w:t>
      </w:r>
      <w:r w:rsidR="001E0DFE">
        <w:t xml:space="preserve">genomic </w:t>
      </w:r>
      <w:r w:rsidR="002772E5">
        <w:t xml:space="preserve">surveillance of clinical strains will </w:t>
      </w:r>
      <w:r w:rsidR="00A850F5">
        <w:t>help refine</w:t>
      </w:r>
      <w:r w:rsidR="002772E5">
        <w:t xml:space="preserve"> antibiotic selection criteria </w:t>
      </w:r>
      <w:r w:rsidR="00820023">
        <w:t>available to</w:t>
      </w:r>
      <w:r w:rsidR="002772E5">
        <w:t xml:space="preserve"> clinicians</w:t>
      </w:r>
      <w:r w:rsidR="007441C9">
        <w:t>.</w:t>
      </w:r>
      <w:r w:rsidR="009B0D59">
        <w:t xml:space="preserve"> </w:t>
      </w:r>
      <w:r w:rsidR="00C27333">
        <w:t xml:space="preserve">This </w:t>
      </w:r>
      <w:r w:rsidR="00DC09AC">
        <w:t>study</w:t>
      </w:r>
      <w:r w:rsidR="003805EE">
        <w:t xml:space="preserve"> furthermore</w:t>
      </w:r>
      <w:r w:rsidR="00DC09AC">
        <w:t xml:space="preserve"> highlights the utility of WGS for profiling the precise mutations underlying emerg</w:t>
      </w:r>
      <w:r w:rsidR="00231CA0">
        <w:t>ing</w:t>
      </w:r>
      <w:r w:rsidR="00A13D61">
        <w:t xml:space="preserve"> antibiotic resistance</w:t>
      </w:r>
      <w:r w:rsidR="00DC09AC">
        <w:t xml:space="preserve"> in clinical cases of bacteremia.</w:t>
      </w:r>
    </w:p>
    <w:p w14:paraId="2AAE34E4" w14:textId="5EDE0C3B" w:rsidR="00356883" w:rsidRDefault="008D669E" w:rsidP="00CC162D">
      <w:pPr>
        <w:pStyle w:val="Heading1"/>
      </w:pPr>
      <w:r>
        <w:t>Acknowledgement</w:t>
      </w:r>
    </w:p>
    <w:p w14:paraId="1AE5C568" w14:textId="31335BFA" w:rsidR="008E06D0" w:rsidRPr="00AF6095" w:rsidRDefault="000F333D" w:rsidP="00D83174">
      <w:pPr>
        <w:rPr>
          <w:iCs/>
        </w:rPr>
      </w:pPr>
      <w:r>
        <w:t>This work was supported by the Icahn Institute for Genomics and Multiscale Biology at Mount Sinai, and also in part</w:t>
      </w:r>
      <w:r w:rsidRPr="00194EEC">
        <w:t xml:space="preserve"> by </w:t>
      </w:r>
      <w:r>
        <w:t xml:space="preserve">the </w:t>
      </w:r>
      <w:r w:rsidRPr="00194EEC">
        <w:t>NIAID-supported NRSA Institutional Research Training Grant (5 T32 AI 7647-13) f</w:t>
      </w:r>
      <w:r w:rsidR="00D83174">
        <w:t xml:space="preserve">or Global Health Research (DRA), and </w:t>
      </w:r>
      <w:r w:rsidR="00D83174">
        <w:rPr>
          <w:iCs/>
        </w:rPr>
        <w:t xml:space="preserve">in part by the resources and </w:t>
      </w:r>
      <w:r w:rsidR="00D83174" w:rsidRPr="00A54E61">
        <w:rPr>
          <w:iCs/>
        </w:rPr>
        <w:t xml:space="preserve">expertise </w:t>
      </w:r>
      <w:r w:rsidR="00D83174">
        <w:rPr>
          <w:iCs/>
        </w:rPr>
        <w:t>of</w:t>
      </w:r>
      <w:r w:rsidR="00D83174" w:rsidRPr="00A54E61">
        <w:rPr>
          <w:iCs/>
        </w:rPr>
        <w:t xml:space="preserve"> the Department of Scientific Computing at the Icahn School of Medicine at Mount Sinai.</w:t>
      </w:r>
      <w:r w:rsidR="00D83174">
        <w:rPr>
          <w:iCs/>
        </w:rPr>
        <w:t xml:space="preserve"> </w:t>
      </w:r>
      <w:r w:rsidR="00D83174" w:rsidRPr="00DA5452">
        <w:t xml:space="preserve">We thank </w:t>
      </w:r>
      <w:r w:rsidR="00D83174">
        <w:t xml:space="preserve">Timothy O’Donnell, </w:t>
      </w:r>
      <w:proofErr w:type="spellStart"/>
      <w:r w:rsidR="00D83174">
        <w:t>Tavi</w:t>
      </w:r>
      <w:proofErr w:type="spellEnd"/>
      <w:r w:rsidR="00D83174">
        <w:t xml:space="preserve"> </w:t>
      </w:r>
      <w:proofErr w:type="spellStart"/>
      <w:r w:rsidR="00D83174">
        <w:t>Nathanson</w:t>
      </w:r>
      <w:proofErr w:type="spellEnd"/>
      <w:r w:rsidR="00D83174">
        <w:t xml:space="preserve">, Jose Clemente, </w:t>
      </w:r>
      <w:r w:rsidR="00D83174" w:rsidRPr="001359A3">
        <w:t xml:space="preserve">Flora </w:t>
      </w:r>
      <w:proofErr w:type="spellStart"/>
      <w:r w:rsidR="00D83174" w:rsidRPr="001359A3">
        <w:t>Samaroo</w:t>
      </w:r>
      <w:proofErr w:type="spellEnd"/>
      <w:r w:rsidR="00D83174">
        <w:t>,</w:t>
      </w:r>
      <w:r w:rsidR="00D83174" w:rsidRPr="001359A3">
        <w:t xml:space="preserve"> Angelo </w:t>
      </w:r>
      <w:proofErr w:type="spellStart"/>
      <w:r w:rsidR="00D83174" w:rsidRPr="001359A3">
        <w:t>Rendo</w:t>
      </w:r>
      <w:proofErr w:type="spellEnd"/>
      <w:r w:rsidR="00D83174">
        <w:t>, and members of the clinical microbiology laboratory at Mount Sinai for their contributions.</w:t>
      </w:r>
      <w:r w:rsidR="00D83174" w:rsidRPr="00E42B08">
        <w:rPr>
          <w:iCs/>
        </w:rPr>
        <w:t xml:space="preserve"> </w:t>
      </w:r>
    </w:p>
    <w:p w14:paraId="3F3E71B0" w14:textId="24D85947" w:rsidR="00FA14BF" w:rsidRDefault="00FA14BF" w:rsidP="00FA14BF">
      <w:pPr>
        <w:pStyle w:val="Heading1"/>
      </w:pPr>
      <w:r>
        <w:t>References</w:t>
      </w:r>
    </w:p>
    <w:p w14:paraId="0A777B4A" w14:textId="61F8F746" w:rsidR="00CA5A5D" w:rsidRPr="00CA5A5D" w:rsidRDefault="00FA14BF">
      <w:pPr>
        <w:pStyle w:val="NormalWeb"/>
        <w:ind w:left="640" w:hanging="640"/>
        <w:divId w:val="35278340"/>
        <w:rPr>
          <w:rFonts w:ascii="Arial" w:hAnsi="Arial" w:cs="Arial"/>
          <w:noProof/>
          <w:sz w:val="22"/>
        </w:rPr>
      </w:pPr>
      <w:r>
        <w:rPr>
          <w:rFonts w:ascii="Arial" w:eastAsia="Arial" w:hAnsi="Arial" w:cs="Arial"/>
          <w:color w:val="000000"/>
          <w:sz w:val="22"/>
        </w:rPr>
        <w:fldChar w:fldCharType="begin" w:fldLock="1"/>
      </w:r>
      <w:r>
        <w:instrText xml:space="preserve">ADDIN Mendeley Bibliography CSL_BIBLIOGRAPHY </w:instrText>
      </w:r>
      <w:r>
        <w:rPr>
          <w:rFonts w:ascii="Arial" w:eastAsia="Arial" w:hAnsi="Arial" w:cs="Arial"/>
          <w:color w:val="000000"/>
          <w:sz w:val="22"/>
        </w:rPr>
        <w:fldChar w:fldCharType="separate"/>
      </w:r>
      <w:r w:rsidR="00CA5A5D" w:rsidRPr="00CA5A5D">
        <w:rPr>
          <w:rFonts w:ascii="Arial" w:hAnsi="Arial" w:cs="Arial"/>
          <w:noProof/>
          <w:sz w:val="22"/>
        </w:rPr>
        <w:t xml:space="preserve">1. </w:t>
      </w:r>
      <w:r w:rsidR="00CA5A5D" w:rsidRPr="00CA5A5D">
        <w:rPr>
          <w:rFonts w:ascii="Arial" w:hAnsi="Arial" w:cs="Arial"/>
          <w:noProof/>
          <w:sz w:val="22"/>
        </w:rPr>
        <w:tab/>
      </w:r>
      <w:r w:rsidR="00CA5A5D" w:rsidRPr="00CA5A5D">
        <w:rPr>
          <w:rFonts w:ascii="Arial" w:hAnsi="Arial" w:cs="Arial"/>
          <w:b/>
          <w:bCs/>
          <w:noProof/>
          <w:sz w:val="22"/>
        </w:rPr>
        <w:t>Brooke JS</w:t>
      </w:r>
      <w:r w:rsidR="00CA5A5D" w:rsidRPr="00CA5A5D">
        <w:rPr>
          <w:rFonts w:ascii="Arial" w:hAnsi="Arial" w:cs="Arial"/>
          <w:noProof/>
          <w:sz w:val="22"/>
        </w:rPr>
        <w:t xml:space="preserve">. 2012. Stenotrophomonas maltophilia: an emerging global opportunistic pathogen. Clin Microbiol Rev </w:t>
      </w:r>
      <w:r w:rsidR="00CA5A5D" w:rsidRPr="00CA5A5D">
        <w:rPr>
          <w:rFonts w:ascii="Arial" w:hAnsi="Arial" w:cs="Arial"/>
          <w:b/>
          <w:bCs/>
          <w:noProof/>
          <w:sz w:val="22"/>
        </w:rPr>
        <w:t>25</w:t>
      </w:r>
      <w:r w:rsidR="00CA5A5D" w:rsidRPr="00CA5A5D">
        <w:rPr>
          <w:rFonts w:ascii="Arial" w:hAnsi="Arial" w:cs="Arial"/>
          <w:noProof/>
          <w:sz w:val="22"/>
        </w:rPr>
        <w:t>:2–41.</w:t>
      </w:r>
    </w:p>
    <w:p w14:paraId="24C1874C"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2. </w:t>
      </w:r>
      <w:r w:rsidRPr="00CA5A5D">
        <w:rPr>
          <w:rFonts w:ascii="Arial" w:hAnsi="Arial" w:cs="Arial"/>
          <w:noProof/>
          <w:sz w:val="22"/>
        </w:rPr>
        <w:tab/>
      </w:r>
      <w:r w:rsidRPr="00CA5A5D">
        <w:rPr>
          <w:rFonts w:ascii="Arial" w:hAnsi="Arial" w:cs="Arial"/>
          <w:b/>
          <w:bCs/>
          <w:noProof/>
          <w:sz w:val="22"/>
        </w:rPr>
        <w:t>Garrison MW, Anderson DE, Campbell DM, Carroll KC, Malone CL, Anderson JD, Hollis RJ, Pfaller MA</w:t>
      </w:r>
      <w:r w:rsidRPr="00CA5A5D">
        <w:rPr>
          <w:rFonts w:ascii="Arial" w:hAnsi="Arial" w:cs="Arial"/>
          <w:noProof/>
          <w:sz w:val="22"/>
        </w:rPr>
        <w:t xml:space="preserve">. 1996. Stenotrophomonas maltophilia: Emergence of multidrug-resistant strains during therapy and in an in vitro pharmacodynamic chamber model. Antimicrob Agents Chemother </w:t>
      </w:r>
      <w:r w:rsidRPr="00CA5A5D">
        <w:rPr>
          <w:rFonts w:ascii="Arial" w:hAnsi="Arial" w:cs="Arial"/>
          <w:b/>
          <w:bCs/>
          <w:noProof/>
          <w:sz w:val="22"/>
        </w:rPr>
        <w:t>40</w:t>
      </w:r>
      <w:r w:rsidRPr="00CA5A5D">
        <w:rPr>
          <w:rFonts w:ascii="Arial" w:hAnsi="Arial" w:cs="Arial"/>
          <w:noProof/>
          <w:sz w:val="22"/>
        </w:rPr>
        <w:t>:2859–2864.</w:t>
      </w:r>
    </w:p>
    <w:p w14:paraId="2F70380A"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3. </w:t>
      </w:r>
      <w:r w:rsidRPr="00CA5A5D">
        <w:rPr>
          <w:rFonts w:ascii="Arial" w:hAnsi="Arial" w:cs="Arial"/>
          <w:noProof/>
          <w:sz w:val="22"/>
        </w:rPr>
        <w:tab/>
      </w:r>
      <w:r w:rsidRPr="00CA5A5D">
        <w:rPr>
          <w:rFonts w:ascii="Arial" w:hAnsi="Arial" w:cs="Arial"/>
          <w:b/>
          <w:bCs/>
          <w:noProof/>
          <w:sz w:val="22"/>
        </w:rPr>
        <w:t>Sánchez P, Alonso A, Martinez JL</w:t>
      </w:r>
      <w:r w:rsidRPr="00CA5A5D">
        <w:rPr>
          <w:rFonts w:ascii="Arial" w:hAnsi="Arial" w:cs="Arial"/>
          <w:noProof/>
          <w:sz w:val="22"/>
        </w:rPr>
        <w:t xml:space="preserve">. 2002. Cloning and characterization of SmeT, a repressor of the Stenotrophomonas maltophilia multidrug efflux pump SmeDEF. Antimicrob Agents Chemother </w:t>
      </w:r>
      <w:r w:rsidRPr="00CA5A5D">
        <w:rPr>
          <w:rFonts w:ascii="Arial" w:hAnsi="Arial" w:cs="Arial"/>
          <w:b/>
          <w:bCs/>
          <w:noProof/>
          <w:sz w:val="22"/>
        </w:rPr>
        <w:t>46</w:t>
      </w:r>
      <w:r w:rsidRPr="00CA5A5D">
        <w:rPr>
          <w:rFonts w:ascii="Arial" w:hAnsi="Arial" w:cs="Arial"/>
          <w:noProof/>
          <w:sz w:val="22"/>
        </w:rPr>
        <w:t>:3386–3393.</w:t>
      </w:r>
    </w:p>
    <w:p w14:paraId="7F22B1C5"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lastRenderedPageBreak/>
        <w:t xml:space="preserve">4. </w:t>
      </w:r>
      <w:r w:rsidRPr="00CA5A5D">
        <w:rPr>
          <w:rFonts w:ascii="Arial" w:hAnsi="Arial" w:cs="Arial"/>
          <w:noProof/>
          <w:sz w:val="22"/>
        </w:rPr>
        <w:tab/>
      </w:r>
      <w:r w:rsidRPr="00CA5A5D">
        <w:rPr>
          <w:rFonts w:ascii="Arial" w:hAnsi="Arial" w:cs="Arial"/>
          <w:b/>
          <w:bCs/>
          <w:noProof/>
          <w:sz w:val="22"/>
        </w:rPr>
        <w:t>Alonso A, Martínez JL</w:t>
      </w:r>
      <w:r w:rsidRPr="00CA5A5D">
        <w:rPr>
          <w:rFonts w:ascii="Arial" w:hAnsi="Arial" w:cs="Arial"/>
          <w:noProof/>
          <w:sz w:val="22"/>
        </w:rPr>
        <w:t xml:space="preserve">. 1997. Multiple antibiotic resistance in Stenotrophomonas maltophilia. Antimicrob Agents Chemother </w:t>
      </w:r>
      <w:r w:rsidRPr="00CA5A5D">
        <w:rPr>
          <w:rFonts w:ascii="Arial" w:hAnsi="Arial" w:cs="Arial"/>
          <w:b/>
          <w:bCs/>
          <w:noProof/>
          <w:sz w:val="22"/>
        </w:rPr>
        <w:t>41</w:t>
      </w:r>
      <w:r w:rsidRPr="00CA5A5D">
        <w:rPr>
          <w:rFonts w:ascii="Arial" w:hAnsi="Arial" w:cs="Arial"/>
          <w:noProof/>
          <w:sz w:val="22"/>
        </w:rPr>
        <w:t>:1140–1142.</w:t>
      </w:r>
    </w:p>
    <w:p w14:paraId="710AC01C"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5. </w:t>
      </w:r>
      <w:r w:rsidRPr="00CA5A5D">
        <w:rPr>
          <w:rFonts w:ascii="Arial" w:hAnsi="Arial" w:cs="Arial"/>
          <w:noProof/>
          <w:sz w:val="22"/>
        </w:rPr>
        <w:tab/>
      </w:r>
      <w:r w:rsidRPr="00CA5A5D">
        <w:rPr>
          <w:rFonts w:ascii="Arial" w:hAnsi="Arial" w:cs="Arial"/>
          <w:b/>
          <w:bCs/>
          <w:noProof/>
          <w:sz w:val="22"/>
        </w:rPr>
        <w:t>Valdezate S, Vindel A, Saéz-Nieto JA, Baquero F, Cantón R</w:t>
      </w:r>
      <w:r w:rsidRPr="00CA5A5D">
        <w:rPr>
          <w:rFonts w:ascii="Arial" w:hAnsi="Arial" w:cs="Arial"/>
          <w:noProof/>
          <w:sz w:val="22"/>
        </w:rPr>
        <w:t xml:space="preserve">. 2005. Preservation of topoisomerase genetic sequences during in vivo and in vitro development of high-level resistance to ciprofloxacin in isogenic Stenotrophomonas maltophilia strains. J Antimicrob Chemother </w:t>
      </w:r>
      <w:r w:rsidRPr="00CA5A5D">
        <w:rPr>
          <w:rFonts w:ascii="Arial" w:hAnsi="Arial" w:cs="Arial"/>
          <w:b/>
          <w:bCs/>
          <w:noProof/>
          <w:sz w:val="22"/>
        </w:rPr>
        <w:t>56</w:t>
      </w:r>
      <w:r w:rsidRPr="00CA5A5D">
        <w:rPr>
          <w:rFonts w:ascii="Arial" w:hAnsi="Arial" w:cs="Arial"/>
          <w:noProof/>
          <w:sz w:val="22"/>
        </w:rPr>
        <w:t>:220–223.</w:t>
      </w:r>
    </w:p>
    <w:p w14:paraId="4478E197"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6. </w:t>
      </w:r>
      <w:r w:rsidRPr="00CA5A5D">
        <w:rPr>
          <w:rFonts w:ascii="Arial" w:hAnsi="Arial" w:cs="Arial"/>
          <w:noProof/>
          <w:sz w:val="22"/>
        </w:rPr>
        <w:tab/>
      </w:r>
      <w:r w:rsidRPr="00CA5A5D">
        <w:rPr>
          <w:rFonts w:ascii="Arial" w:hAnsi="Arial" w:cs="Arial"/>
          <w:b/>
          <w:bCs/>
          <w:noProof/>
          <w:sz w:val="22"/>
        </w:rPr>
        <w:t>Clinical and Laboratory Standards Institute</w:t>
      </w:r>
      <w:r w:rsidRPr="00CA5A5D">
        <w:rPr>
          <w:rFonts w:ascii="Arial" w:hAnsi="Arial" w:cs="Arial"/>
          <w:noProof/>
          <w:sz w:val="22"/>
        </w:rPr>
        <w:t>. 2015. Performance standards for antimicrobial susceptibility testing; twenty-fifth informational supplement M100-S25. Clinical and Laboratory Standards Institute, Wayne, PA.</w:t>
      </w:r>
    </w:p>
    <w:p w14:paraId="6C733B97"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7. </w:t>
      </w:r>
      <w:r w:rsidRPr="00CA5A5D">
        <w:rPr>
          <w:rFonts w:ascii="Arial" w:hAnsi="Arial" w:cs="Arial"/>
          <w:noProof/>
          <w:sz w:val="22"/>
        </w:rPr>
        <w:tab/>
      </w:r>
      <w:r w:rsidRPr="00CA5A5D">
        <w:rPr>
          <w:rFonts w:ascii="Arial" w:hAnsi="Arial" w:cs="Arial"/>
          <w:b/>
          <w:bCs/>
          <w:noProof/>
          <w:sz w:val="22"/>
        </w:rPr>
        <w:t>Altman DR, Sebra R, Hand J, Attie O, Deikus G, Carpini KWD, Patel G, Rana M, Arvelakis A, Grewal P, Dutta J, Rose H, Shopsin B, Daefler S, Schadt EE, Kasarskis A, van Bakel H, Bashir A, Huprikar S</w:t>
      </w:r>
      <w:r w:rsidRPr="00CA5A5D">
        <w:rPr>
          <w:rFonts w:ascii="Arial" w:hAnsi="Arial" w:cs="Arial"/>
          <w:noProof/>
          <w:sz w:val="22"/>
        </w:rPr>
        <w:t xml:space="preserve">. 2014. Transmission of Methicillin-Resistant Staphylococcus aureus via Deceased Donor Liver Transplantation Confirmed by Whole Genome Sequencing. Am J Transplant </w:t>
      </w:r>
      <w:r w:rsidRPr="00CA5A5D">
        <w:rPr>
          <w:rFonts w:ascii="Arial" w:hAnsi="Arial" w:cs="Arial"/>
          <w:b/>
          <w:bCs/>
          <w:noProof/>
          <w:sz w:val="22"/>
        </w:rPr>
        <w:t>14</w:t>
      </w:r>
      <w:r w:rsidRPr="00CA5A5D">
        <w:rPr>
          <w:rFonts w:ascii="Arial" w:hAnsi="Arial" w:cs="Arial"/>
          <w:noProof/>
          <w:sz w:val="22"/>
        </w:rPr>
        <w:t>:2640–4.</w:t>
      </w:r>
    </w:p>
    <w:p w14:paraId="1BC1F29D"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8. </w:t>
      </w:r>
      <w:r w:rsidRPr="00CA5A5D">
        <w:rPr>
          <w:rFonts w:ascii="Arial" w:hAnsi="Arial" w:cs="Arial"/>
          <w:noProof/>
          <w:sz w:val="22"/>
        </w:rPr>
        <w:tab/>
      </w:r>
      <w:r w:rsidRPr="00CA5A5D">
        <w:rPr>
          <w:rFonts w:ascii="Arial" w:hAnsi="Arial" w:cs="Arial"/>
          <w:b/>
          <w:bCs/>
          <w:noProof/>
          <w:sz w:val="22"/>
        </w:rPr>
        <w:t>Chin C-S, Alexander DH, Marks P, Klammer AA, Drake J, Heiner C, Clum A, Copeland A, Huddleston J, Eichler EE, Turner SW, Korlach J</w:t>
      </w:r>
      <w:r w:rsidRPr="00CA5A5D">
        <w:rPr>
          <w:rFonts w:ascii="Arial" w:hAnsi="Arial" w:cs="Arial"/>
          <w:noProof/>
          <w:sz w:val="22"/>
        </w:rPr>
        <w:t xml:space="preserve">. 2013. Nonhybrid, finished microbial genome assemblies from long-read SMRT sequencing data. Nat Methods </w:t>
      </w:r>
      <w:r w:rsidRPr="00CA5A5D">
        <w:rPr>
          <w:rFonts w:ascii="Arial" w:hAnsi="Arial" w:cs="Arial"/>
          <w:b/>
          <w:bCs/>
          <w:noProof/>
          <w:sz w:val="22"/>
        </w:rPr>
        <w:t>10</w:t>
      </w:r>
      <w:r w:rsidRPr="00CA5A5D">
        <w:rPr>
          <w:rFonts w:ascii="Arial" w:hAnsi="Arial" w:cs="Arial"/>
          <w:noProof/>
          <w:sz w:val="22"/>
        </w:rPr>
        <w:t>:563–9.</w:t>
      </w:r>
    </w:p>
    <w:p w14:paraId="7A853418"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9. </w:t>
      </w:r>
      <w:r w:rsidRPr="00CA5A5D">
        <w:rPr>
          <w:rFonts w:ascii="Arial" w:hAnsi="Arial" w:cs="Arial"/>
          <w:noProof/>
          <w:sz w:val="22"/>
        </w:rPr>
        <w:tab/>
      </w:r>
      <w:r w:rsidRPr="00CA5A5D">
        <w:rPr>
          <w:rFonts w:ascii="Arial" w:hAnsi="Arial" w:cs="Arial"/>
          <w:b/>
          <w:bCs/>
          <w:noProof/>
          <w:sz w:val="22"/>
        </w:rPr>
        <w:t>Delcher AL, Salzberg SL, Phillippy AM</w:t>
      </w:r>
      <w:r w:rsidRPr="00CA5A5D">
        <w:rPr>
          <w:rFonts w:ascii="Arial" w:hAnsi="Arial" w:cs="Arial"/>
          <w:noProof/>
          <w:sz w:val="22"/>
        </w:rPr>
        <w:t xml:space="preserve">. 2003. Using MUMmer to identify similar regions in large sequence sets. Curr Protoc Bioinformatics </w:t>
      </w:r>
      <w:r w:rsidRPr="00CA5A5D">
        <w:rPr>
          <w:rFonts w:ascii="Arial" w:hAnsi="Arial" w:cs="Arial"/>
          <w:b/>
          <w:bCs/>
          <w:noProof/>
          <w:sz w:val="22"/>
        </w:rPr>
        <w:t>Chapter 10</w:t>
      </w:r>
      <w:r w:rsidRPr="00CA5A5D">
        <w:rPr>
          <w:rFonts w:ascii="Arial" w:hAnsi="Arial" w:cs="Arial"/>
          <w:noProof/>
          <w:sz w:val="22"/>
        </w:rPr>
        <w:t>:Unit 10.3.</w:t>
      </w:r>
    </w:p>
    <w:p w14:paraId="632C6C5C"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10. </w:t>
      </w:r>
      <w:r w:rsidRPr="00CA5A5D">
        <w:rPr>
          <w:rFonts w:ascii="Arial" w:hAnsi="Arial" w:cs="Arial"/>
          <w:noProof/>
          <w:sz w:val="22"/>
        </w:rPr>
        <w:tab/>
      </w:r>
      <w:r w:rsidRPr="00CA5A5D">
        <w:rPr>
          <w:rFonts w:ascii="Arial" w:hAnsi="Arial" w:cs="Arial"/>
          <w:b/>
          <w:bCs/>
          <w:noProof/>
          <w:sz w:val="22"/>
        </w:rPr>
        <w:t>Angiuoli S V, Salzberg SL</w:t>
      </w:r>
      <w:r w:rsidRPr="00CA5A5D">
        <w:rPr>
          <w:rFonts w:ascii="Arial" w:hAnsi="Arial" w:cs="Arial"/>
          <w:noProof/>
          <w:sz w:val="22"/>
        </w:rPr>
        <w:t xml:space="preserve">. 2011. Mugsy: fast multiple alignment of closely related whole genomes. Bioinformatics </w:t>
      </w:r>
      <w:r w:rsidRPr="00CA5A5D">
        <w:rPr>
          <w:rFonts w:ascii="Arial" w:hAnsi="Arial" w:cs="Arial"/>
          <w:b/>
          <w:bCs/>
          <w:noProof/>
          <w:sz w:val="22"/>
        </w:rPr>
        <w:t>27</w:t>
      </w:r>
      <w:r w:rsidRPr="00CA5A5D">
        <w:rPr>
          <w:rFonts w:ascii="Arial" w:hAnsi="Arial" w:cs="Arial"/>
          <w:noProof/>
          <w:sz w:val="22"/>
        </w:rPr>
        <w:t>:334–42.</w:t>
      </w:r>
    </w:p>
    <w:p w14:paraId="3A45F823"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11. </w:t>
      </w:r>
      <w:r w:rsidRPr="00CA5A5D">
        <w:rPr>
          <w:rFonts w:ascii="Arial" w:hAnsi="Arial" w:cs="Arial"/>
          <w:noProof/>
          <w:sz w:val="22"/>
        </w:rPr>
        <w:tab/>
      </w:r>
      <w:r w:rsidRPr="00CA5A5D">
        <w:rPr>
          <w:rFonts w:ascii="Arial" w:hAnsi="Arial" w:cs="Arial"/>
          <w:b/>
          <w:bCs/>
          <w:noProof/>
          <w:sz w:val="22"/>
        </w:rPr>
        <w:t>Stamatakis A</w:t>
      </w:r>
      <w:r w:rsidRPr="00CA5A5D">
        <w:rPr>
          <w:rFonts w:ascii="Arial" w:hAnsi="Arial" w:cs="Arial"/>
          <w:noProof/>
          <w:sz w:val="22"/>
        </w:rPr>
        <w:t xml:space="preserve">. 2014. RAxML version 8: a tool for phylogenetic analysis and post-analysis of large phylogenies. Bioinformatics </w:t>
      </w:r>
      <w:r w:rsidRPr="00CA5A5D">
        <w:rPr>
          <w:rFonts w:ascii="Arial" w:hAnsi="Arial" w:cs="Arial"/>
          <w:b/>
          <w:bCs/>
          <w:noProof/>
          <w:sz w:val="22"/>
        </w:rPr>
        <w:t>30</w:t>
      </w:r>
      <w:r w:rsidRPr="00CA5A5D">
        <w:rPr>
          <w:rFonts w:ascii="Arial" w:hAnsi="Arial" w:cs="Arial"/>
          <w:noProof/>
          <w:sz w:val="22"/>
        </w:rPr>
        <w:t>:1312–3.</w:t>
      </w:r>
    </w:p>
    <w:p w14:paraId="294D3414"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12. </w:t>
      </w:r>
      <w:r w:rsidRPr="00CA5A5D">
        <w:rPr>
          <w:rFonts w:ascii="Arial" w:hAnsi="Arial" w:cs="Arial"/>
          <w:noProof/>
          <w:sz w:val="22"/>
        </w:rPr>
        <w:tab/>
      </w:r>
      <w:r w:rsidRPr="00CA5A5D">
        <w:rPr>
          <w:rFonts w:ascii="Arial" w:hAnsi="Arial" w:cs="Arial"/>
          <w:b/>
          <w:bCs/>
          <w:noProof/>
          <w:sz w:val="22"/>
        </w:rPr>
        <w:t>Darling ACE, Mau B, Blattner FR, Perna NT</w:t>
      </w:r>
      <w:r w:rsidRPr="00CA5A5D">
        <w:rPr>
          <w:rFonts w:ascii="Arial" w:hAnsi="Arial" w:cs="Arial"/>
          <w:noProof/>
          <w:sz w:val="22"/>
        </w:rPr>
        <w:t xml:space="preserve">. 2004. Mauve: multiple alignment of conserved genomic sequence with rearrangements. Genome Res </w:t>
      </w:r>
      <w:r w:rsidRPr="00CA5A5D">
        <w:rPr>
          <w:rFonts w:ascii="Arial" w:hAnsi="Arial" w:cs="Arial"/>
          <w:b/>
          <w:bCs/>
          <w:noProof/>
          <w:sz w:val="22"/>
        </w:rPr>
        <w:t>14</w:t>
      </w:r>
      <w:r w:rsidRPr="00CA5A5D">
        <w:rPr>
          <w:rFonts w:ascii="Arial" w:hAnsi="Arial" w:cs="Arial"/>
          <w:noProof/>
          <w:sz w:val="22"/>
        </w:rPr>
        <w:t>:1394–403.</w:t>
      </w:r>
    </w:p>
    <w:p w14:paraId="11D3A32F"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lastRenderedPageBreak/>
        <w:t xml:space="preserve">13. </w:t>
      </w:r>
      <w:r w:rsidRPr="00CA5A5D">
        <w:rPr>
          <w:rFonts w:ascii="Arial" w:hAnsi="Arial" w:cs="Arial"/>
          <w:noProof/>
          <w:sz w:val="22"/>
        </w:rPr>
        <w:tab/>
      </w:r>
      <w:r w:rsidRPr="00CA5A5D">
        <w:rPr>
          <w:rFonts w:ascii="Arial" w:hAnsi="Arial" w:cs="Arial"/>
          <w:b/>
          <w:bCs/>
          <w:noProof/>
          <w:sz w:val="22"/>
        </w:rPr>
        <w:t>Hernández A, Maté MJ, Sánchez-Díaz PC, Romero A, Rojo F, Martínez JL</w:t>
      </w:r>
      <w:r w:rsidRPr="00CA5A5D">
        <w:rPr>
          <w:rFonts w:ascii="Arial" w:hAnsi="Arial" w:cs="Arial"/>
          <w:noProof/>
          <w:sz w:val="22"/>
        </w:rPr>
        <w:t xml:space="preserve">. 2009. Structural and functional analysis of SmeT, the repressor of the Stenotrophomonas maltophilia multidrug efflux pump SmeDEF. J Biol Chem </w:t>
      </w:r>
      <w:r w:rsidRPr="00CA5A5D">
        <w:rPr>
          <w:rFonts w:ascii="Arial" w:hAnsi="Arial" w:cs="Arial"/>
          <w:b/>
          <w:bCs/>
          <w:noProof/>
          <w:sz w:val="22"/>
        </w:rPr>
        <w:t>284</w:t>
      </w:r>
      <w:r w:rsidRPr="00CA5A5D">
        <w:rPr>
          <w:rFonts w:ascii="Arial" w:hAnsi="Arial" w:cs="Arial"/>
          <w:noProof/>
          <w:sz w:val="22"/>
        </w:rPr>
        <w:t>:14428–14438.</w:t>
      </w:r>
    </w:p>
    <w:p w14:paraId="7F27F339"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14. </w:t>
      </w:r>
      <w:r w:rsidRPr="00CA5A5D">
        <w:rPr>
          <w:rFonts w:ascii="Arial" w:hAnsi="Arial" w:cs="Arial"/>
          <w:noProof/>
          <w:sz w:val="22"/>
        </w:rPr>
        <w:tab/>
      </w:r>
      <w:r w:rsidRPr="00CA5A5D">
        <w:rPr>
          <w:rFonts w:ascii="Arial" w:hAnsi="Arial" w:cs="Arial"/>
          <w:b/>
          <w:bCs/>
          <w:noProof/>
          <w:sz w:val="22"/>
        </w:rPr>
        <w:t>Alonso A, Martinez JL</w:t>
      </w:r>
      <w:r w:rsidRPr="00CA5A5D">
        <w:rPr>
          <w:rFonts w:ascii="Arial" w:hAnsi="Arial" w:cs="Arial"/>
          <w:noProof/>
          <w:sz w:val="22"/>
        </w:rPr>
        <w:t xml:space="preserve">. 2001. Expression of multidrug efflux pump smeDEF by clinical isolates of Stenotrophomonas maltophilia. Antimicrob Agents Chemother </w:t>
      </w:r>
      <w:r w:rsidRPr="00CA5A5D">
        <w:rPr>
          <w:rFonts w:ascii="Arial" w:hAnsi="Arial" w:cs="Arial"/>
          <w:b/>
          <w:bCs/>
          <w:noProof/>
          <w:sz w:val="22"/>
        </w:rPr>
        <w:t>45</w:t>
      </w:r>
      <w:r w:rsidRPr="00CA5A5D">
        <w:rPr>
          <w:rFonts w:ascii="Arial" w:hAnsi="Arial" w:cs="Arial"/>
          <w:noProof/>
          <w:sz w:val="22"/>
        </w:rPr>
        <w:t>:1879–1881.</w:t>
      </w:r>
    </w:p>
    <w:p w14:paraId="3AAAD7E7"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15. </w:t>
      </w:r>
      <w:r w:rsidRPr="00CA5A5D">
        <w:rPr>
          <w:rFonts w:ascii="Arial" w:hAnsi="Arial" w:cs="Arial"/>
          <w:noProof/>
          <w:sz w:val="22"/>
        </w:rPr>
        <w:tab/>
      </w:r>
      <w:r w:rsidRPr="00CA5A5D">
        <w:rPr>
          <w:rFonts w:ascii="Arial" w:hAnsi="Arial" w:cs="Arial"/>
          <w:b/>
          <w:bCs/>
          <w:noProof/>
          <w:sz w:val="22"/>
        </w:rPr>
        <w:t>Valdezate S, Vindel A, Echeita A, Baquero F, Cantón R</w:t>
      </w:r>
      <w:r w:rsidRPr="00CA5A5D">
        <w:rPr>
          <w:rFonts w:ascii="Arial" w:hAnsi="Arial" w:cs="Arial"/>
          <w:noProof/>
          <w:sz w:val="22"/>
        </w:rPr>
        <w:t xml:space="preserve">. 2002. Topoisomerase II and IV quinolone resistance-determining regions in Stenotrophomonas maltophilia clinical isolates with different levels of quinolone susceptibility. Antimicrob Agents Chemother </w:t>
      </w:r>
      <w:r w:rsidRPr="00CA5A5D">
        <w:rPr>
          <w:rFonts w:ascii="Arial" w:hAnsi="Arial" w:cs="Arial"/>
          <w:b/>
          <w:bCs/>
          <w:noProof/>
          <w:sz w:val="22"/>
        </w:rPr>
        <w:t>46</w:t>
      </w:r>
      <w:r w:rsidRPr="00CA5A5D">
        <w:rPr>
          <w:rFonts w:ascii="Arial" w:hAnsi="Arial" w:cs="Arial"/>
          <w:noProof/>
          <w:sz w:val="22"/>
        </w:rPr>
        <w:t>:665–671.</w:t>
      </w:r>
    </w:p>
    <w:p w14:paraId="47299F0C"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16. </w:t>
      </w:r>
      <w:r w:rsidRPr="00CA5A5D">
        <w:rPr>
          <w:rFonts w:ascii="Arial" w:hAnsi="Arial" w:cs="Arial"/>
          <w:noProof/>
          <w:sz w:val="22"/>
        </w:rPr>
        <w:tab/>
      </w:r>
      <w:r w:rsidRPr="00CA5A5D">
        <w:rPr>
          <w:rFonts w:ascii="Arial" w:hAnsi="Arial" w:cs="Arial"/>
          <w:b/>
          <w:bCs/>
          <w:noProof/>
          <w:sz w:val="22"/>
        </w:rPr>
        <w:t>Srikhanta YN, Fox KL, Jennings MP</w:t>
      </w:r>
      <w:r w:rsidRPr="00CA5A5D">
        <w:rPr>
          <w:rFonts w:ascii="Arial" w:hAnsi="Arial" w:cs="Arial"/>
          <w:noProof/>
          <w:sz w:val="22"/>
        </w:rPr>
        <w:t xml:space="preserve">. 2010. The phasevarion: phase variation of type III DNA methyltransferases controls coordinated switching in multiple genes. Nat Rev Microbiol </w:t>
      </w:r>
      <w:r w:rsidRPr="00CA5A5D">
        <w:rPr>
          <w:rFonts w:ascii="Arial" w:hAnsi="Arial" w:cs="Arial"/>
          <w:b/>
          <w:bCs/>
          <w:noProof/>
          <w:sz w:val="22"/>
        </w:rPr>
        <w:t>8</w:t>
      </w:r>
      <w:r w:rsidRPr="00CA5A5D">
        <w:rPr>
          <w:rFonts w:ascii="Arial" w:hAnsi="Arial" w:cs="Arial"/>
          <w:noProof/>
          <w:sz w:val="22"/>
        </w:rPr>
        <w:t>:196–206.</w:t>
      </w:r>
    </w:p>
    <w:p w14:paraId="22C758F1"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17. </w:t>
      </w:r>
      <w:r w:rsidRPr="00CA5A5D">
        <w:rPr>
          <w:rFonts w:ascii="Arial" w:hAnsi="Arial" w:cs="Arial"/>
          <w:noProof/>
          <w:sz w:val="22"/>
        </w:rPr>
        <w:tab/>
      </w:r>
      <w:r w:rsidRPr="00CA5A5D">
        <w:rPr>
          <w:rFonts w:ascii="Arial" w:hAnsi="Arial" w:cs="Arial"/>
          <w:b/>
          <w:bCs/>
          <w:noProof/>
          <w:sz w:val="22"/>
        </w:rPr>
        <w:t>Crossman LC, Gould VC, Dow JM, Vernikos GS, Okazaki A, Sebaihia M, Saunders D, Arrowsmith C, Carver T, Peters N, Adlem E, Kerhornou A, Lord A, Murphy L, Seeger K, Squares R, Rutter S, Quail MA, Rajandream M-A, Harris D, Churcher C, Bentley SD, Parkhill J, Thomson NR, Avison MB</w:t>
      </w:r>
      <w:r w:rsidRPr="00CA5A5D">
        <w:rPr>
          <w:rFonts w:ascii="Arial" w:hAnsi="Arial" w:cs="Arial"/>
          <w:noProof/>
          <w:sz w:val="22"/>
        </w:rPr>
        <w:t xml:space="preserve">. 2008. The complete genome, comparative and functional analysis of Stenotrophomonas maltophilia reveals an organism heavily shielded by drug resistance determinants. Genome Biol </w:t>
      </w:r>
      <w:r w:rsidRPr="00CA5A5D">
        <w:rPr>
          <w:rFonts w:ascii="Arial" w:hAnsi="Arial" w:cs="Arial"/>
          <w:b/>
          <w:bCs/>
          <w:noProof/>
          <w:sz w:val="22"/>
        </w:rPr>
        <w:t>9</w:t>
      </w:r>
      <w:r w:rsidRPr="00CA5A5D">
        <w:rPr>
          <w:rFonts w:ascii="Arial" w:hAnsi="Arial" w:cs="Arial"/>
          <w:noProof/>
          <w:sz w:val="22"/>
        </w:rPr>
        <w:t>:R74.</w:t>
      </w:r>
    </w:p>
    <w:p w14:paraId="54ABD743"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18. </w:t>
      </w:r>
      <w:r w:rsidRPr="00CA5A5D">
        <w:rPr>
          <w:rFonts w:ascii="Arial" w:hAnsi="Arial" w:cs="Arial"/>
          <w:noProof/>
          <w:sz w:val="22"/>
        </w:rPr>
        <w:tab/>
      </w:r>
      <w:r w:rsidRPr="00CA5A5D">
        <w:rPr>
          <w:rFonts w:ascii="Arial" w:hAnsi="Arial" w:cs="Arial"/>
          <w:b/>
          <w:bCs/>
          <w:noProof/>
          <w:sz w:val="22"/>
        </w:rPr>
        <w:t>Zhao Y, Niu W, Sun Y, Hao H, Yu D, Xu G, Shang X, Tang X, Lu S, Yue J, Li Y</w:t>
      </w:r>
      <w:r w:rsidRPr="00CA5A5D">
        <w:rPr>
          <w:rFonts w:ascii="Arial" w:hAnsi="Arial" w:cs="Arial"/>
          <w:noProof/>
          <w:sz w:val="22"/>
        </w:rPr>
        <w:t xml:space="preserve">. 2015. Identification and characterization of a serious multidrug resistant Stenotrophomonas maltophilia strain in China. Biomed Res Int </w:t>
      </w:r>
      <w:r w:rsidRPr="00CA5A5D">
        <w:rPr>
          <w:rFonts w:ascii="Arial" w:hAnsi="Arial" w:cs="Arial"/>
          <w:b/>
          <w:bCs/>
          <w:noProof/>
          <w:sz w:val="22"/>
        </w:rPr>
        <w:t>2015</w:t>
      </w:r>
      <w:r w:rsidRPr="00CA5A5D">
        <w:rPr>
          <w:rFonts w:ascii="Arial" w:hAnsi="Arial" w:cs="Arial"/>
          <w:noProof/>
          <w:sz w:val="22"/>
        </w:rPr>
        <w:t>:580240.</w:t>
      </w:r>
    </w:p>
    <w:p w14:paraId="5F6E0AA4"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19. </w:t>
      </w:r>
      <w:r w:rsidRPr="00CA5A5D">
        <w:rPr>
          <w:rFonts w:ascii="Arial" w:hAnsi="Arial" w:cs="Arial"/>
          <w:noProof/>
          <w:sz w:val="22"/>
        </w:rPr>
        <w:tab/>
      </w:r>
      <w:r w:rsidRPr="00CA5A5D">
        <w:rPr>
          <w:rFonts w:ascii="Arial" w:hAnsi="Arial" w:cs="Arial"/>
          <w:b/>
          <w:bCs/>
          <w:noProof/>
          <w:sz w:val="22"/>
        </w:rPr>
        <w:t>Sanchez P, Alonso A, Martinez JL</w:t>
      </w:r>
      <w:r w:rsidRPr="00CA5A5D">
        <w:rPr>
          <w:rFonts w:ascii="Arial" w:hAnsi="Arial" w:cs="Arial"/>
          <w:noProof/>
          <w:sz w:val="22"/>
        </w:rPr>
        <w:t xml:space="preserve">. 2004. Regulatory regions of smeDEF in Stenotrophomonas maltophilia strains expressing different amounts of the multidrug efflux pump SmeDEF. Antimicrob Agents Chemother </w:t>
      </w:r>
      <w:r w:rsidRPr="00CA5A5D">
        <w:rPr>
          <w:rFonts w:ascii="Arial" w:hAnsi="Arial" w:cs="Arial"/>
          <w:b/>
          <w:bCs/>
          <w:noProof/>
          <w:sz w:val="22"/>
        </w:rPr>
        <w:t>48</w:t>
      </w:r>
      <w:r w:rsidRPr="00CA5A5D">
        <w:rPr>
          <w:rFonts w:ascii="Arial" w:hAnsi="Arial" w:cs="Arial"/>
          <w:noProof/>
          <w:sz w:val="22"/>
        </w:rPr>
        <w:t>:2274–2276.</w:t>
      </w:r>
    </w:p>
    <w:p w14:paraId="1B9B2599"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20. </w:t>
      </w:r>
      <w:r w:rsidRPr="00CA5A5D">
        <w:rPr>
          <w:rFonts w:ascii="Arial" w:hAnsi="Arial" w:cs="Arial"/>
          <w:noProof/>
          <w:sz w:val="22"/>
        </w:rPr>
        <w:tab/>
      </w:r>
      <w:r w:rsidRPr="00CA5A5D">
        <w:rPr>
          <w:rFonts w:ascii="Arial" w:hAnsi="Arial" w:cs="Arial"/>
          <w:b/>
          <w:bCs/>
          <w:noProof/>
          <w:sz w:val="22"/>
        </w:rPr>
        <w:t>Alonso A, Morales G, Escalante R, Campanario E, Sastre L, Martinez JL</w:t>
      </w:r>
      <w:r w:rsidRPr="00CA5A5D">
        <w:rPr>
          <w:rFonts w:ascii="Arial" w:hAnsi="Arial" w:cs="Arial"/>
          <w:noProof/>
          <w:sz w:val="22"/>
        </w:rPr>
        <w:t xml:space="preserve">. 2004. Overexpression of the multidrug efflux pump SmeDEF impairs Stenotrophomonas maltophilia physiology. J Antimicrob Chemother </w:t>
      </w:r>
      <w:r w:rsidRPr="00CA5A5D">
        <w:rPr>
          <w:rFonts w:ascii="Arial" w:hAnsi="Arial" w:cs="Arial"/>
          <w:b/>
          <w:bCs/>
          <w:noProof/>
          <w:sz w:val="22"/>
        </w:rPr>
        <w:t>53</w:t>
      </w:r>
      <w:r w:rsidRPr="00CA5A5D">
        <w:rPr>
          <w:rFonts w:ascii="Arial" w:hAnsi="Arial" w:cs="Arial"/>
          <w:noProof/>
          <w:sz w:val="22"/>
        </w:rPr>
        <w:t>:432–434.</w:t>
      </w:r>
    </w:p>
    <w:p w14:paraId="29FE2744"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21. </w:t>
      </w:r>
      <w:r w:rsidRPr="00CA5A5D">
        <w:rPr>
          <w:rFonts w:ascii="Arial" w:hAnsi="Arial" w:cs="Arial"/>
          <w:noProof/>
          <w:sz w:val="22"/>
        </w:rPr>
        <w:tab/>
      </w:r>
      <w:r w:rsidRPr="00CA5A5D">
        <w:rPr>
          <w:rFonts w:ascii="Arial" w:hAnsi="Arial" w:cs="Arial"/>
          <w:b/>
          <w:bCs/>
          <w:noProof/>
          <w:sz w:val="22"/>
        </w:rPr>
        <w:t>Cho SY, Kang CI, Kim J, Ha YE, Chung DR, Lee NY, Peck KR, Song JH</w:t>
      </w:r>
      <w:r w:rsidRPr="00CA5A5D">
        <w:rPr>
          <w:rFonts w:ascii="Arial" w:hAnsi="Arial" w:cs="Arial"/>
          <w:noProof/>
          <w:sz w:val="22"/>
        </w:rPr>
        <w:t xml:space="preserve">. 2014. Can levofloxacin be a useful alternative to trimethoprim-sulfamethoxazole for treating Stenotrophomonas maltophilia bacteremia? Antimicrob Agents Chemother </w:t>
      </w:r>
      <w:r w:rsidRPr="00CA5A5D">
        <w:rPr>
          <w:rFonts w:ascii="Arial" w:hAnsi="Arial" w:cs="Arial"/>
          <w:b/>
          <w:bCs/>
          <w:noProof/>
          <w:sz w:val="22"/>
        </w:rPr>
        <w:t>58</w:t>
      </w:r>
      <w:r w:rsidRPr="00CA5A5D">
        <w:rPr>
          <w:rFonts w:ascii="Arial" w:hAnsi="Arial" w:cs="Arial"/>
          <w:noProof/>
          <w:sz w:val="22"/>
        </w:rPr>
        <w:t>:581–583.</w:t>
      </w:r>
    </w:p>
    <w:p w14:paraId="16351686"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22. </w:t>
      </w:r>
      <w:r w:rsidRPr="00CA5A5D">
        <w:rPr>
          <w:rFonts w:ascii="Arial" w:hAnsi="Arial" w:cs="Arial"/>
          <w:noProof/>
          <w:sz w:val="22"/>
        </w:rPr>
        <w:tab/>
      </w:r>
      <w:r w:rsidRPr="00CA5A5D">
        <w:rPr>
          <w:rFonts w:ascii="Arial" w:hAnsi="Arial" w:cs="Arial"/>
          <w:b/>
          <w:bCs/>
          <w:noProof/>
          <w:sz w:val="22"/>
        </w:rPr>
        <w:t>Wang YL, Scipione MR, Dubrovskaya Y, Papadopoulos J</w:t>
      </w:r>
      <w:r w:rsidRPr="00CA5A5D">
        <w:rPr>
          <w:rFonts w:ascii="Arial" w:hAnsi="Arial" w:cs="Arial"/>
          <w:noProof/>
          <w:sz w:val="22"/>
        </w:rPr>
        <w:t xml:space="preserve">. 2014. Monotherapy with fluoroquinolone or trimethoprim-sulfamethoxazole for treatment of Stenotrophomonas maltophilia infections. Antimicrob Agents Chemother </w:t>
      </w:r>
      <w:r w:rsidRPr="00CA5A5D">
        <w:rPr>
          <w:rFonts w:ascii="Arial" w:hAnsi="Arial" w:cs="Arial"/>
          <w:b/>
          <w:bCs/>
          <w:noProof/>
          <w:sz w:val="22"/>
        </w:rPr>
        <w:t>58</w:t>
      </w:r>
      <w:r w:rsidRPr="00CA5A5D">
        <w:rPr>
          <w:rFonts w:ascii="Arial" w:hAnsi="Arial" w:cs="Arial"/>
          <w:noProof/>
          <w:sz w:val="22"/>
        </w:rPr>
        <w:t>:176–182.</w:t>
      </w:r>
    </w:p>
    <w:p w14:paraId="0DADDCB6" w14:textId="77777777" w:rsidR="00CA5A5D" w:rsidRPr="00CA5A5D" w:rsidRDefault="00CA5A5D">
      <w:pPr>
        <w:pStyle w:val="NormalWeb"/>
        <w:ind w:left="640" w:hanging="640"/>
        <w:divId w:val="35278340"/>
        <w:rPr>
          <w:rFonts w:ascii="Arial" w:hAnsi="Arial" w:cs="Arial"/>
          <w:noProof/>
          <w:sz w:val="22"/>
        </w:rPr>
      </w:pPr>
      <w:r w:rsidRPr="00CA5A5D">
        <w:rPr>
          <w:rFonts w:ascii="Arial" w:hAnsi="Arial" w:cs="Arial"/>
          <w:noProof/>
          <w:sz w:val="22"/>
        </w:rPr>
        <w:t xml:space="preserve">23. </w:t>
      </w:r>
      <w:r w:rsidRPr="00CA5A5D">
        <w:rPr>
          <w:rFonts w:ascii="Arial" w:hAnsi="Arial" w:cs="Arial"/>
          <w:noProof/>
          <w:sz w:val="22"/>
        </w:rPr>
        <w:tab/>
      </w:r>
      <w:r w:rsidRPr="00CA5A5D">
        <w:rPr>
          <w:rFonts w:ascii="Arial" w:hAnsi="Arial" w:cs="Arial"/>
          <w:b/>
          <w:bCs/>
          <w:noProof/>
          <w:sz w:val="22"/>
        </w:rPr>
        <w:t>Pak TR, Roth FP</w:t>
      </w:r>
      <w:r w:rsidRPr="00CA5A5D">
        <w:rPr>
          <w:rFonts w:ascii="Arial" w:hAnsi="Arial" w:cs="Arial"/>
          <w:noProof/>
          <w:sz w:val="22"/>
        </w:rPr>
        <w:t xml:space="preserve">. 2013. ChromoZoom: a flexible, fluid, web-based genome browser. Bioinformatics </w:t>
      </w:r>
      <w:r w:rsidRPr="00CA5A5D">
        <w:rPr>
          <w:rFonts w:ascii="Arial" w:hAnsi="Arial" w:cs="Arial"/>
          <w:b/>
          <w:bCs/>
          <w:noProof/>
          <w:sz w:val="22"/>
        </w:rPr>
        <w:t>29</w:t>
      </w:r>
      <w:r w:rsidRPr="00CA5A5D">
        <w:rPr>
          <w:rFonts w:ascii="Arial" w:hAnsi="Arial" w:cs="Arial"/>
          <w:noProof/>
          <w:sz w:val="22"/>
        </w:rPr>
        <w:t xml:space="preserve">:384–6. </w:t>
      </w:r>
    </w:p>
    <w:p w14:paraId="69295C4C" w14:textId="1DA53401" w:rsidR="002314C5" w:rsidRDefault="00FA14BF" w:rsidP="00CA5A5D">
      <w:pPr>
        <w:pStyle w:val="NormalWeb"/>
        <w:ind w:left="640" w:hanging="640"/>
        <w:divId w:val="356007083"/>
      </w:pPr>
      <w:r>
        <w:fldChar w:fldCharType="end"/>
      </w:r>
      <w:r w:rsidR="002314C5">
        <w:br w:type="page"/>
      </w:r>
    </w:p>
    <w:p w14:paraId="627161CD" w14:textId="77777777" w:rsidR="00ED1D26" w:rsidRDefault="00ED1D26" w:rsidP="002314C5">
      <w:pPr>
        <w:pStyle w:val="Heading1"/>
        <w:divId w:val="1194727850"/>
        <w:sectPr w:rsidR="00ED1D26" w:rsidSect="000F333D">
          <w:footerReference w:type="default" r:id="rId10"/>
          <w:footnotePr>
            <w:numFmt w:val="lowerLetter"/>
            <w:numRestart w:val="eachSect"/>
          </w:footnotePr>
          <w:pgSz w:w="12240" w:h="15840"/>
          <w:pgMar w:top="1440" w:right="1440" w:bottom="1440" w:left="1440" w:header="720" w:footer="720" w:gutter="0"/>
          <w:lnNumType w:countBy="1" w:restart="continuous"/>
          <w:pgNumType w:start="1"/>
          <w:cols w:space="720"/>
        </w:sectPr>
      </w:pPr>
    </w:p>
    <w:p w14:paraId="16286EBE" w14:textId="3CE2C376" w:rsidR="00FA14BF" w:rsidRDefault="002314C5" w:rsidP="002314C5">
      <w:pPr>
        <w:pStyle w:val="Heading1"/>
        <w:divId w:val="1194727850"/>
      </w:pPr>
      <w:r>
        <w:t>Tables</w:t>
      </w:r>
    </w:p>
    <w:p w14:paraId="72C6B01D" w14:textId="3DCDA74D" w:rsidR="002314C5" w:rsidRDefault="002314C5" w:rsidP="002314C5">
      <w:pPr>
        <w:pStyle w:val="Normal2"/>
        <w:contextualSpacing/>
        <w:divId w:val="1194727850"/>
      </w:pPr>
      <w:r w:rsidRPr="005F4988">
        <w:rPr>
          <w:b/>
        </w:rPr>
        <w:t>Table 1.</w:t>
      </w:r>
      <w:r>
        <w:t xml:space="preserve"> </w:t>
      </w:r>
      <w:r w:rsidR="00143442">
        <w:t>Sequenced c</w:t>
      </w:r>
      <w:r w:rsidR="00C211BA">
        <w:t xml:space="preserve">linical isolates </w:t>
      </w:r>
      <w:r w:rsidR="00143442">
        <w:t>and their antimicrobial susceptibilities</w:t>
      </w:r>
      <w:r w:rsidR="00C211BA">
        <w:t>.</w:t>
      </w:r>
    </w:p>
    <w:p w14:paraId="01F90F78" w14:textId="77777777" w:rsidR="005F4988" w:rsidRDefault="005F4988" w:rsidP="002314C5">
      <w:pPr>
        <w:pStyle w:val="Normal2"/>
        <w:contextualSpacing/>
        <w:divId w:val="1194727850"/>
      </w:pPr>
    </w:p>
    <w:tbl>
      <w:tblPr>
        <w:tblStyle w:val="LightShading"/>
        <w:tblW w:w="9468" w:type="dxa"/>
        <w:tblLayout w:type="fixed"/>
        <w:tblLook w:val="04A0" w:firstRow="1" w:lastRow="0" w:firstColumn="1" w:lastColumn="0" w:noHBand="0" w:noVBand="1"/>
      </w:tblPr>
      <w:tblGrid>
        <w:gridCol w:w="828"/>
        <w:gridCol w:w="1080"/>
        <w:gridCol w:w="990"/>
        <w:gridCol w:w="900"/>
        <w:gridCol w:w="900"/>
        <w:gridCol w:w="990"/>
        <w:gridCol w:w="918"/>
        <w:gridCol w:w="1872"/>
        <w:gridCol w:w="990"/>
      </w:tblGrid>
      <w:tr w:rsidR="00936C8A" w:rsidRPr="006F655C" w14:paraId="347F87D7" w14:textId="1410C4A4" w:rsidTr="0097069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28" w:type="dxa"/>
            <w:vMerge w:val="restart"/>
            <w:shd w:val="clear" w:color="auto" w:fill="auto"/>
          </w:tcPr>
          <w:p w14:paraId="2101F3FC" w14:textId="20C28F00" w:rsidR="00E54C04" w:rsidRPr="006F655C" w:rsidRDefault="00E54C04" w:rsidP="002314C5">
            <w:pPr>
              <w:pStyle w:val="Normal2"/>
              <w:spacing w:line="276" w:lineRule="auto"/>
              <w:contextualSpacing/>
              <w:rPr>
                <w:sz w:val="16"/>
                <w:szCs w:val="16"/>
              </w:rPr>
            </w:pPr>
            <w:r w:rsidRPr="006F655C">
              <w:rPr>
                <w:sz w:val="16"/>
                <w:szCs w:val="16"/>
              </w:rPr>
              <w:t>Patient</w:t>
            </w:r>
          </w:p>
        </w:tc>
        <w:tc>
          <w:tcPr>
            <w:tcW w:w="1080" w:type="dxa"/>
            <w:vMerge w:val="restart"/>
            <w:shd w:val="clear" w:color="auto" w:fill="auto"/>
          </w:tcPr>
          <w:p w14:paraId="62F9CC1B" w14:textId="10EF4118" w:rsidR="00E54C04" w:rsidRPr="006F655C" w:rsidRDefault="0006274F" w:rsidP="002314C5">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Time</w:t>
            </w:r>
            <w:r w:rsidR="00E54C04" w:rsidRPr="006F655C">
              <w:rPr>
                <w:sz w:val="16"/>
                <w:szCs w:val="16"/>
              </w:rPr>
              <w:t xml:space="preserve"> of collection</w:t>
            </w:r>
            <w:r w:rsidR="00E61227">
              <w:rPr>
                <w:rStyle w:val="FootnoteReference"/>
                <w:sz w:val="16"/>
                <w:szCs w:val="16"/>
              </w:rPr>
              <w:footnoteReference w:id="4"/>
            </w:r>
            <w:r>
              <w:rPr>
                <w:sz w:val="16"/>
                <w:szCs w:val="16"/>
              </w:rPr>
              <w:t xml:space="preserve"> (days)</w:t>
            </w:r>
          </w:p>
        </w:tc>
        <w:tc>
          <w:tcPr>
            <w:tcW w:w="990" w:type="dxa"/>
            <w:vMerge w:val="restart"/>
            <w:shd w:val="clear" w:color="auto" w:fill="auto"/>
          </w:tcPr>
          <w:p w14:paraId="2418258A" w14:textId="1C35E3DA" w:rsidR="00E54C04" w:rsidRPr="006F655C" w:rsidRDefault="00E54C04" w:rsidP="002314C5">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Isolate name</w:t>
            </w:r>
          </w:p>
        </w:tc>
        <w:tc>
          <w:tcPr>
            <w:tcW w:w="1800" w:type="dxa"/>
            <w:gridSpan w:val="2"/>
            <w:tcBorders>
              <w:bottom w:val="single" w:sz="4" w:space="0" w:color="auto"/>
            </w:tcBorders>
            <w:shd w:val="clear" w:color="auto" w:fill="auto"/>
          </w:tcPr>
          <w:p w14:paraId="7E4895CB" w14:textId="58C37102" w:rsidR="00E54C04" w:rsidRPr="006F655C" w:rsidRDefault="00E54C04" w:rsidP="002314C5">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F655C">
              <w:rPr>
                <w:sz w:val="16"/>
                <w:szCs w:val="16"/>
              </w:rPr>
              <w:t>Levo</w:t>
            </w:r>
            <w:proofErr w:type="spellEnd"/>
            <w:r w:rsidRPr="006F655C">
              <w:rPr>
                <w:sz w:val="16"/>
                <w:szCs w:val="16"/>
              </w:rPr>
              <w:t xml:space="preserve"> </w:t>
            </w:r>
            <w:r w:rsidR="00610B6F" w:rsidRPr="006F655C">
              <w:rPr>
                <w:sz w:val="16"/>
                <w:szCs w:val="16"/>
              </w:rPr>
              <w:t>susceptibility</w:t>
            </w:r>
            <w:r w:rsidR="00936C8A" w:rsidRPr="006F655C">
              <w:rPr>
                <w:sz w:val="16"/>
                <w:szCs w:val="16"/>
              </w:rPr>
              <w:t xml:space="preserve"> </w:t>
            </w:r>
            <w:r w:rsidR="00610B6F">
              <w:rPr>
                <w:sz w:val="16"/>
                <w:szCs w:val="16"/>
              </w:rPr>
              <w:t>(</w:t>
            </w:r>
            <w:r w:rsidRPr="006F655C">
              <w:rPr>
                <w:sz w:val="16"/>
                <w:szCs w:val="16"/>
              </w:rPr>
              <w:t>MIC</w:t>
            </w:r>
            <w:r w:rsidR="00610B6F">
              <w:rPr>
                <w:sz w:val="16"/>
                <w:szCs w:val="16"/>
              </w:rPr>
              <w:t>,</w:t>
            </w:r>
            <w:r w:rsidR="009859C6">
              <w:rPr>
                <w:sz w:val="16"/>
                <w:szCs w:val="16"/>
              </w:rPr>
              <w:t xml:space="preserve"> mg/</w:t>
            </w:r>
            <w:r w:rsidRPr="006F655C">
              <w:rPr>
                <w:sz w:val="16"/>
                <w:szCs w:val="16"/>
              </w:rPr>
              <w:t>L)</w:t>
            </w:r>
          </w:p>
        </w:tc>
        <w:tc>
          <w:tcPr>
            <w:tcW w:w="1908" w:type="dxa"/>
            <w:gridSpan w:val="2"/>
            <w:tcBorders>
              <w:bottom w:val="single" w:sz="4" w:space="0" w:color="auto"/>
            </w:tcBorders>
            <w:shd w:val="clear" w:color="auto" w:fill="auto"/>
          </w:tcPr>
          <w:p w14:paraId="1F25BADB" w14:textId="68533BB5" w:rsidR="00E54C04" w:rsidRPr="006F655C" w:rsidRDefault="003F5ED3" w:rsidP="006F655C">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SXT</w:t>
            </w:r>
            <w:r w:rsidR="00E54C04" w:rsidRPr="006F655C">
              <w:rPr>
                <w:sz w:val="16"/>
                <w:szCs w:val="16"/>
              </w:rPr>
              <w:t xml:space="preserve"> </w:t>
            </w:r>
            <w:r w:rsidR="00610B6F" w:rsidRPr="006F655C">
              <w:rPr>
                <w:sz w:val="16"/>
                <w:szCs w:val="16"/>
              </w:rPr>
              <w:t>susceptibility</w:t>
            </w:r>
            <w:r w:rsidR="00936C8A" w:rsidRPr="006F655C">
              <w:rPr>
                <w:sz w:val="16"/>
                <w:szCs w:val="16"/>
              </w:rPr>
              <w:t xml:space="preserve"> </w:t>
            </w:r>
            <w:r w:rsidR="00610B6F">
              <w:rPr>
                <w:sz w:val="16"/>
                <w:szCs w:val="16"/>
              </w:rPr>
              <w:t>(</w:t>
            </w:r>
            <w:r w:rsidR="00E54C04" w:rsidRPr="006F655C">
              <w:rPr>
                <w:sz w:val="16"/>
                <w:szCs w:val="16"/>
              </w:rPr>
              <w:t>MIC</w:t>
            </w:r>
            <w:r w:rsidR="00610B6F">
              <w:rPr>
                <w:sz w:val="16"/>
                <w:szCs w:val="16"/>
              </w:rPr>
              <w:t>,</w:t>
            </w:r>
            <w:r w:rsidR="009859C6">
              <w:rPr>
                <w:sz w:val="16"/>
                <w:szCs w:val="16"/>
              </w:rPr>
              <w:t xml:space="preserve"> mg/</w:t>
            </w:r>
            <w:r w:rsidR="00E54C04" w:rsidRPr="006F655C">
              <w:rPr>
                <w:sz w:val="16"/>
                <w:szCs w:val="16"/>
              </w:rPr>
              <w:t>L)</w:t>
            </w:r>
          </w:p>
        </w:tc>
        <w:tc>
          <w:tcPr>
            <w:tcW w:w="1872" w:type="dxa"/>
            <w:vMerge w:val="restart"/>
            <w:shd w:val="clear" w:color="auto" w:fill="auto"/>
          </w:tcPr>
          <w:p w14:paraId="451D5D9A" w14:textId="4DE68268" w:rsidR="00E54C04" w:rsidRPr="006F655C" w:rsidRDefault="00E54C04" w:rsidP="00715DBB">
            <w:pPr>
              <w:pStyle w:val="Normal2"/>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Assembly quality</w:t>
            </w:r>
          </w:p>
        </w:tc>
        <w:tc>
          <w:tcPr>
            <w:tcW w:w="990" w:type="dxa"/>
            <w:vMerge w:val="restart"/>
            <w:shd w:val="clear" w:color="auto" w:fill="auto"/>
          </w:tcPr>
          <w:p w14:paraId="62548A56" w14:textId="06550C5F" w:rsidR="00E54C04" w:rsidRPr="006F655C" w:rsidRDefault="005511C3" w:rsidP="006F655C">
            <w:pPr>
              <w:pStyle w:val="Normal2"/>
              <w:keepNext/>
              <w:keepLines/>
              <w:spacing w:before="160" w:line="276" w:lineRule="auto"/>
              <w:contextualSpacing/>
              <w:outlineLvl w:val="4"/>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Depth of c</w:t>
            </w:r>
            <w:r w:rsidRPr="006F655C">
              <w:rPr>
                <w:sz w:val="16"/>
                <w:szCs w:val="16"/>
              </w:rPr>
              <w:t>overage</w:t>
            </w:r>
          </w:p>
        </w:tc>
      </w:tr>
      <w:tr w:rsidR="00936C8A" w:rsidRPr="006F655C" w14:paraId="703E465F" w14:textId="604BFF60" w:rsidTr="0097069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828" w:type="dxa"/>
            <w:vMerge/>
            <w:tcBorders>
              <w:bottom w:val="single" w:sz="4" w:space="0" w:color="auto"/>
            </w:tcBorders>
            <w:shd w:val="clear" w:color="auto" w:fill="auto"/>
          </w:tcPr>
          <w:p w14:paraId="05D4C3B4" w14:textId="77777777" w:rsidR="00E54C04" w:rsidRPr="006F655C" w:rsidRDefault="00E54C04" w:rsidP="002314C5">
            <w:pPr>
              <w:pStyle w:val="Normal2"/>
              <w:keepNext/>
              <w:keepLines/>
              <w:spacing w:after="200" w:line="276" w:lineRule="auto"/>
              <w:contextualSpacing/>
              <w:rPr>
                <w:sz w:val="16"/>
                <w:szCs w:val="16"/>
              </w:rPr>
            </w:pPr>
          </w:p>
        </w:tc>
        <w:tc>
          <w:tcPr>
            <w:tcW w:w="1080" w:type="dxa"/>
            <w:vMerge/>
            <w:tcBorders>
              <w:bottom w:val="single" w:sz="4" w:space="0" w:color="auto"/>
            </w:tcBorders>
            <w:shd w:val="clear" w:color="auto" w:fill="auto"/>
          </w:tcPr>
          <w:p w14:paraId="4E648690" w14:textId="77777777" w:rsidR="00E54C04" w:rsidRPr="006F655C" w:rsidDel="00854E53" w:rsidRDefault="00E54C04" w:rsidP="002314C5">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Borders>
              <w:bottom w:val="single" w:sz="4" w:space="0" w:color="auto"/>
            </w:tcBorders>
            <w:shd w:val="clear" w:color="auto" w:fill="auto"/>
          </w:tcPr>
          <w:p w14:paraId="018B28AB" w14:textId="77777777" w:rsidR="00E54C04" w:rsidRPr="006F655C" w:rsidRDefault="00E54C04" w:rsidP="002314C5">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Borders>
              <w:top w:val="single" w:sz="4" w:space="0" w:color="auto"/>
              <w:bottom w:val="single" w:sz="4" w:space="0" w:color="auto"/>
            </w:tcBorders>
            <w:shd w:val="clear" w:color="auto" w:fill="auto"/>
            <w:vAlign w:val="bottom"/>
          </w:tcPr>
          <w:p w14:paraId="52A3E03E" w14:textId="6932B9B4" w:rsidR="00E54C04" w:rsidRPr="006F655C" w:rsidRDefault="00D03DE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Vitek2</w:t>
            </w:r>
          </w:p>
        </w:tc>
        <w:tc>
          <w:tcPr>
            <w:tcW w:w="900" w:type="dxa"/>
            <w:tcBorders>
              <w:top w:val="single" w:sz="4" w:space="0" w:color="auto"/>
              <w:bottom w:val="single" w:sz="4" w:space="0" w:color="auto"/>
            </w:tcBorders>
            <w:shd w:val="clear" w:color="auto" w:fill="auto"/>
            <w:vAlign w:val="bottom"/>
          </w:tcPr>
          <w:p w14:paraId="534D1E3B" w14:textId="47478A0C" w:rsidR="00E54C04" w:rsidRPr="006F655C" w:rsidRDefault="00E54C0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6F655C">
              <w:rPr>
                <w:sz w:val="16"/>
                <w:szCs w:val="16"/>
              </w:rPr>
              <w:t>Etest</w:t>
            </w:r>
            <w:proofErr w:type="spellEnd"/>
          </w:p>
        </w:tc>
        <w:tc>
          <w:tcPr>
            <w:tcW w:w="990" w:type="dxa"/>
            <w:tcBorders>
              <w:top w:val="single" w:sz="4" w:space="0" w:color="auto"/>
              <w:bottom w:val="single" w:sz="4" w:space="0" w:color="auto"/>
            </w:tcBorders>
            <w:shd w:val="clear" w:color="auto" w:fill="auto"/>
            <w:vAlign w:val="bottom"/>
          </w:tcPr>
          <w:p w14:paraId="73DE863C" w14:textId="165C5125" w:rsidR="00E54C04" w:rsidRPr="006F655C" w:rsidRDefault="00D03DE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Vitek2</w:t>
            </w:r>
          </w:p>
        </w:tc>
        <w:tc>
          <w:tcPr>
            <w:tcW w:w="918" w:type="dxa"/>
            <w:tcBorders>
              <w:top w:val="single" w:sz="4" w:space="0" w:color="auto"/>
              <w:bottom w:val="single" w:sz="4" w:space="0" w:color="auto"/>
            </w:tcBorders>
            <w:shd w:val="clear" w:color="auto" w:fill="auto"/>
            <w:vAlign w:val="bottom"/>
          </w:tcPr>
          <w:p w14:paraId="54854091" w14:textId="1E87B911" w:rsidR="00E54C04" w:rsidRPr="006F655C" w:rsidRDefault="00E54C04" w:rsidP="0085591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6F655C">
              <w:rPr>
                <w:sz w:val="16"/>
                <w:szCs w:val="16"/>
              </w:rPr>
              <w:t>Etest</w:t>
            </w:r>
            <w:proofErr w:type="spellEnd"/>
          </w:p>
        </w:tc>
        <w:tc>
          <w:tcPr>
            <w:tcW w:w="1872" w:type="dxa"/>
            <w:vMerge/>
            <w:tcBorders>
              <w:bottom w:val="single" w:sz="4" w:space="0" w:color="auto"/>
            </w:tcBorders>
            <w:shd w:val="clear" w:color="auto" w:fill="auto"/>
          </w:tcPr>
          <w:p w14:paraId="3AD09DB0" w14:textId="057E2CB1" w:rsidR="00E54C04" w:rsidRPr="006F655C" w:rsidRDefault="00E54C04" w:rsidP="00715DBB">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Borders>
              <w:bottom w:val="single" w:sz="4" w:space="0" w:color="auto"/>
            </w:tcBorders>
            <w:shd w:val="clear" w:color="auto" w:fill="auto"/>
          </w:tcPr>
          <w:p w14:paraId="5E90E28F" w14:textId="77777777" w:rsidR="00E54C04" w:rsidRPr="006F655C" w:rsidRDefault="00E54C04" w:rsidP="00715DBB">
            <w:pPr>
              <w:pStyle w:val="Normal2"/>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r>
      <w:tr w:rsidR="00936C8A" w:rsidRPr="006F655C" w14:paraId="13BF1831" w14:textId="77507C3C" w:rsidTr="00970698">
        <w:trPr>
          <w:trHeight w:val="647"/>
        </w:trPr>
        <w:tc>
          <w:tcPr>
            <w:cnfStyle w:val="001000000000" w:firstRow="0" w:lastRow="0" w:firstColumn="1" w:lastColumn="0" w:oddVBand="0" w:evenVBand="0" w:oddHBand="0" w:evenHBand="0" w:firstRowFirstColumn="0" w:firstRowLastColumn="0" w:lastRowFirstColumn="0" w:lastRowLastColumn="0"/>
            <w:tcW w:w="828" w:type="dxa"/>
            <w:tcBorders>
              <w:top w:val="single" w:sz="4" w:space="0" w:color="auto"/>
            </w:tcBorders>
            <w:shd w:val="clear" w:color="auto" w:fill="auto"/>
          </w:tcPr>
          <w:p w14:paraId="1B8B04F8" w14:textId="0B04A4FF" w:rsidR="00E54C04" w:rsidRPr="006F655C" w:rsidRDefault="00E54C04" w:rsidP="002314C5">
            <w:pPr>
              <w:pStyle w:val="Normal2"/>
              <w:spacing w:line="276" w:lineRule="auto"/>
              <w:contextualSpacing/>
              <w:rPr>
                <w:sz w:val="16"/>
                <w:szCs w:val="16"/>
              </w:rPr>
            </w:pPr>
            <w:r w:rsidRPr="006F655C">
              <w:rPr>
                <w:sz w:val="16"/>
                <w:szCs w:val="16"/>
              </w:rPr>
              <w:t>1</w:t>
            </w:r>
          </w:p>
        </w:tc>
        <w:tc>
          <w:tcPr>
            <w:tcW w:w="1080" w:type="dxa"/>
            <w:tcBorders>
              <w:top w:val="single" w:sz="4" w:space="0" w:color="auto"/>
            </w:tcBorders>
            <w:shd w:val="clear" w:color="auto" w:fill="auto"/>
          </w:tcPr>
          <w:p w14:paraId="3F4A6AF8" w14:textId="06BC24E2"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0</w:t>
            </w:r>
          </w:p>
        </w:tc>
        <w:tc>
          <w:tcPr>
            <w:tcW w:w="990" w:type="dxa"/>
            <w:tcBorders>
              <w:top w:val="single" w:sz="4" w:space="0" w:color="auto"/>
            </w:tcBorders>
            <w:shd w:val="clear" w:color="auto" w:fill="auto"/>
          </w:tcPr>
          <w:p w14:paraId="24F693DF" w14:textId="7ADFA80C"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ISMMS2</w:t>
            </w:r>
          </w:p>
        </w:tc>
        <w:tc>
          <w:tcPr>
            <w:tcW w:w="900" w:type="dxa"/>
            <w:tcBorders>
              <w:top w:val="single" w:sz="4" w:space="0" w:color="auto"/>
            </w:tcBorders>
            <w:shd w:val="clear" w:color="auto" w:fill="auto"/>
          </w:tcPr>
          <w:p w14:paraId="22939B72" w14:textId="514576A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0.5</w:t>
            </w:r>
            <w:r w:rsidRPr="006F655C">
              <w:rPr>
                <w:sz w:val="16"/>
                <w:szCs w:val="16"/>
              </w:rPr>
              <w:t>)</w:t>
            </w:r>
            <w:r w:rsidR="00E54C04" w:rsidRPr="006F655C">
              <w:rPr>
                <w:rStyle w:val="FootnoteReference"/>
                <w:sz w:val="16"/>
                <w:szCs w:val="16"/>
              </w:rPr>
              <w:footnoteReference w:id="5"/>
            </w:r>
          </w:p>
        </w:tc>
        <w:tc>
          <w:tcPr>
            <w:tcW w:w="900" w:type="dxa"/>
            <w:tcBorders>
              <w:top w:val="single" w:sz="4" w:space="0" w:color="auto"/>
            </w:tcBorders>
            <w:shd w:val="clear" w:color="auto" w:fill="auto"/>
          </w:tcPr>
          <w:p w14:paraId="64D13481" w14:textId="42B6AD55" w:rsidR="00E54C04" w:rsidRPr="006F655C" w:rsidRDefault="00F10354" w:rsidP="009630C6">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F22595">
              <w:rPr>
                <w:sz w:val="16"/>
                <w:szCs w:val="16"/>
              </w:rPr>
              <w:t xml:space="preserve">S </w:t>
            </w:r>
            <w:r w:rsidR="009630C6" w:rsidRPr="00F22595">
              <w:rPr>
                <w:sz w:val="16"/>
                <w:szCs w:val="16"/>
              </w:rPr>
              <w:t>(</w:t>
            </w:r>
            <w:r w:rsidR="009630C6" w:rsidRPr="009630C6">
              <w:rPr>
                <w:sz w:val="16"/>
                <w:szCs w:val="16"/>
              </w:rPr>
              <w:t>1</w:t>
            </w:r>
            <w:r w:rsidR="009630C6" w:rsidRPr="006976E0">
              <w:rPr>
                <w:sz w:val="16"/>
                <w:szCs w:val="16"/>
              </w:rPr>
              <w:t>)</w:t>
            </w:r>
          </w:p>
        </w:tc>
        <w:tc>
          <w:tcPr>
            <w:tcW w:w="990" w:type="dxa"/>
            <w:tcBorders>
              <w:top w:val="single" w:sz="4" w:space="0" w:color="auto"/>
            </w:tcBorders>
            <w:shd w:val="clear" w:color="auto" w:fill="auto"/>
          </w:tcPr>
          <w:p w14:paraId="6241E7F6" w14:textId="497F6E98"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tcBorders>
              <w:top w:val="single" w:sz="4" w:space="0" w:color="auto"/>
            </w:tcBorders>
            <w:shd w:val="clear" w:color="auto" w:fill="auto"/>
          </w:tcPr>
          <w:p w14:paraId="15344161" w14:textId="0CB3F350" w:rsidR="00E54C04" w:rsidRPr="006F655C" w:rsidRDefault="00936C8A" w:rsidP="00D220A0">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0.19</w:t>
            </w:r>
            <w:r>
              <w:rPr>
                <w:sz w:val="16"/>
                <w:szCs w:val="16"/>
              </w:rPr>
              <w:t>)</w:t>
            </w:r>
          </w:p>
        </w:tc>
        <w:tc>
          <w:tcPr>
            <w:tcW w:w="1872" w:type="dxa"/>
            <w:tcBorders>
              <w:top w:val="single" w:sz="4" w:space="0" w:color="auto"/>
            </w:tcBorders>
            <w:shd w:val="clear" w:color="auto" w:fill="auto"/>
          </w:tcPr>
          <w:p w14:paraId="211A2ED3" w14:textId="170AD258" w:rsidR="00E54C04" w:rsidRPr="006F655C" w:rsidRDefault="00E54C04" w:rsidP="00D220A0">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4.51Mbp chromosome</w:t>
            </w:r>
          </w:p>
        </w:tc>
        <w:tc>
          <w:tcPr>
            <w:tcW w:w="990" w:type="dxa"/>
            <w:tcBorders>
              <w:top w:val="single" w:sz="4" w:space="0" w:color="auto"/>
            </w:tcBorders>
            <w:shd w:val="clear" w:color="auto" w:fill="auto"/>
          </w:tcPr>
          <w:p w14:paraId="65BB0667" w14:textId="7CB12DD9" w:rsidR="00E54C04" w:rsidRPr="006F655C" w:rsidRDefault="00E54C04" w:rsidP="00D220A0">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160</w:t>
            </w:r>
            <w:r w:rsidR="00752876">
              <w:rPr>
                <w:sz w:val="16"/>
                <w:szCs w:val="16"/>
              </w:rPr>
              <w:t>x</w:t>
            </w:r>
          </w:p>
        </w:tc>
      </w:tr>
      <w:tr w:rsidR="00936C8A" w:rsidRPr="006F655C" w14:paraId="3D618EC9" w14:textId="52F179F4" w:rsidTr="00970698">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250FD6FC" w14:textId="4C3A8CB9" w:rsidR="00E54C04" w:rsidRPr="006F655C" w:rsidRDefault="00E54C04" w:rsidP="002314C5">
            <w:pPr>
              <w:pStyle w:val="Normal2"/>
              <w:spacing w:line="276" w:lineRule="auto"/>
              <w:contextualSpacing/>
              <w:rPr>
                <w:sz w:val="16"/>
                <w:szCs w:val="16"/>
              </w:rPr>
            </w:pPr>
            <w:r w:rsidRPr="006F655C">
              <w:rPr>
                <w:sz w:val="16"/>
                <w:szCs w:val="16"/>
              </w:rPr>
              <w:t>1</w:t>
            </w:r>
          </w:p>
        </w:tc>
        <w:tc>
          <w:tcPr>
            <w:tcW w:w="1080" w:type="dxa"/>
            <w:shd w:val="clear" w:color="auto" w:fill="auto"/>
          </w:tcPr>
          <w:p w14:paraId="6BB74A73" w14:textId="6976ECAB"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+10</w:t>
            </w:r>
          </w:p>
        </w:tc>
        <w:tc>
          <w:tcPr>
            <w:tcW w:w="990" w:type="dxa"/>
            <w:shd w:val="clear" w:color="auto" w:fill="auto"/>
          </w:tcPr>
          <w:p w14:paraId="71B013DD" w14:textId="4BBC4E21"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ISMMS2R</w:t>
            </w:r>
          </w:p>
        </w:tc>
        <w:tc>
          <w:tcPr>
            <w:tcW w:w="900" w:type="dxa"/>
            <w:shd w:val="clear" w:color="auto" w:fill="auto"/>
          </w:tcPr>
          <w:p w14:paraId="0AF6E951" w14:textId="57D37852" w:rsidR="00E54C04" w:rsidRPr="006F655C" w:rsidRDefault="00936C8A" w:rsidP="00745DE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&gt;32</w:t>
            </w:r>
            <w:r w:rsidRPr="006F655C">
              <w:rPr>
                <w:sz w:val="16"/>
                <w:szCs w:val="16"/>
              </w:rPr>
              <w:t>)</w:t>
            </w:r>
            <w:r w:rsidR="00745DE5">
              <w:rPr>
                <w:sz w:val="16"/>
                <w:szCs w:val="16"/>
                <w:vertAlign w:val="superscript"/>
              </w:rPr>
              <w:t>b</w:t>
            </w:r>
          </w:p>
        </w:tc>
        <w:tc>
          <w:tcPr>
            <w:tcW w:w="900" w:type="dxa"/>
            <w:shd w:val="clear" w:color="auto" w:fill="auto"/>
          </w:tcPr>
          <w:p w14:paraId="249A31D5" w14:textId="3C9A4C82"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16</w:t>
            </w:r>
            <w:r w:rsidRPr="006F655C">
              <w:rPr>
                <w:sz w:val="16"/>
                <w:szCs w:val="16"/>
              </w:rPr>
              <w:t>)</w:t>
            </w:r>
          </w:p>
        </w:tc>
        <w:tc>
          <w:tcPr>
            <w:tcW w:w="990" w:type="dxa"/>
            <w:shd w:val="clear" w:color="auto" w:fill="auto"/>
          </w:tcPr>
          <w:p w14:paraId="0643BE26" w14:textId="1E6E9200"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1</w:t>
            </w:r>
            <w:r>
              <w:rPr>
                <w:sz w:val="16"/>
                <w:szCs w:val="16"/>
              </w:rPr>
              <w:t>)</w:t>
            </w:r>
          </w:p>
        </w:tc>
        <w:tc>
          <w:tcPr>
            <w:tcW w:w="918" w:type="dxa"/>
            <w:shd w:val="clear" w:color="auto" w:fill="auto"/>
          </w:tcPr>
          <w:p w14:paraId="38916C4C" w14:textId="64AE1ED2" w:rsidR="00E54C04" w:rsidRPr="006F655C" w:rsidRDefault="00936C8A" w:rsidP="00D220A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0.38</w:t>
            </w:r>
            <w:r>
              <w:rPr>
                <w:sz w:val="16"/>
                <w:szCs w:val="16"/>
              </w:rPr>
              <w:t>)</w:t>
            </w:r>
          </w:p>
        </w:tc>
        <w:tc>
          <w:tcPr>
            <w:tcW w:w="1872" w:type="dxa"/>
            <w:shd w:val="clear" w:color="auto" w:fill="auto"/>
          </w:tcPr>
          <w:p w14:paraId="32688553" w14:textId="10BCDDB0" w:rsidR="00E54C04" w:rsidRPr="006F655C" w:rsidRDefault="00E54C04" w:rsidP="00D220A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 circular 4.51Mbp chromosome</w:t>
            </w:r>
          </w:p>
        </w:tc>
        <w:tc>
          <w:tcPr>
            <w:tcW w:w="990" w:type="dxa"/>
            <w:shd w:val="clear" w:color="auto" w:fill="auto"/>
          </w:tcPr>
          <w:p w14:paraId="14E06BFF" w14:textId="3438C7B5" w:rsidR="00E54C04" w:rsidRPr="006F655C" w:rsidRDefault="00E54C04" w:rsidP="00D220A0">
            <w:pPr>
              <w:pStyle w:val="Normal2"/>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403</w:t>
            </w:r>
            <w:r w:rsidR="00752876">
              <w:rPr>
                <w:sz w:val="16"/>
                <w:szCs w:val="16"/>
              </w:rPr>
              <w:t>x</w:t>
            </w:r>
          </w:p>
        </w:tc>
      </w:tr>
      <w:tr w:rsidR="00936C8A" w:rsidRPr="006F655C" w14:paraId="6A4535BF" w14:textId="009BCDC3" w:rsidTr="00970698">
        <w:trPr>
          <w:trHeight w:val="67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62AF7DFF" w14:textId="7D3576FC" w:rsidR="00E54C04" w:rsidRPr="006F655C" w:rsidRDefault="00E54C04" w:rsidP="002314C5">
            <w:pPr>
              <w:pStyle w:val="Normal2"/>
              <w:spacing w:line="276" w:lineRule="auto"/>
              <w:contextualSpacing/>
              <w:rPr>
                <w:sz w:val="16"/>
                <w:szCs w:val="16"/>
              </w:rPr>
            </w:pPr>
            <w:r w:rsidRPr="006F655C">
              <w:rPr>
                <w:sz w:val="16"/>
                <w:szCs w:val="16"/>
              </w:rPr>
              <w:t>2</w:t>
            </w:r>
          </w:p>
        </w:tc>
        <w:tc>
          <w:tcPr>
            <w:tcW w:w="1080" w:type="dxa"/>
            <w:shd w:val="clear" w:color="auto" w:fill="auto"/>
          </w:tcPr>
          <w:p w14:paraId="01819CB2" w14:textId="12625835"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-26</w:t>
            </w:r>
          </w:p>
        </w:tc>
        <w:tc>
          <w:tcPr>
            <w:tcW w:w="990" w:type="dxa"/>
            <w:shd w:val="clear" w:color="auto" w:fill="auto"/>
          </w:tcPr>
          <w:p w14:paraId="64651235" w14:textId="3FB0605E"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ISMMS3</w:t>
            </w:r>
          </w:p>
        </w:tc>
        <w:tc>
          <w:tcPr>
            <w:tcW w:w="900" w:type="dxa"/>
            <w:shd w:val="clear" w:color="auto" w:fill="auto"/>
          </w:tcPr>
          <w:p w14:paraId="14786847" w14:textId="33FEDAB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0.25</w:t>
            </w:r>
            <w:r w:rsidRPr="006F655C">
              <w:rPr>
                <w:sz w:val="16"/>
                <w:szCs w:val="16"/>
              </w:rPr>
              <w:t>)</w:t>
            </w:r>
          </w:p>
        </w:tc>
        <w:tc>
          <w:tcPr>
            <w:tcW w:w="900" w:type="dxa"/>
            <w:shd w:val="clear" w:color="auto" w:fill="auto"/>
          </w:tcPr>
          <w:p w14:paraId="3DD20E2F" w14:textId="73CB0092"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0.38</w:t>
            </w:r>
            <w:r w:rsidRPr="006F655C">
              <w:rPr>
                <w:sz w:val="16"/>
                <w:szCs w:val="16"/>
              </w:rPr>
              <w:t>)</w:t>
            </w:r>
          </w:p>
        </w:tc>
        <w:tc>
          <w:tcPr>
            <w:tcW w:w="990" w:type="dxa"/>
            <w:shd w:val="clear" w:color="auto" w:fill="auto"/>
          </w:tcPr>
          <w:p w14:paraId="5EA75EE4" w14:textId="7018E05F" w:rsidR="00E54C04" w:rsidRPr="006F655C" w:rsidRDefault="00512F22"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w:t>
            </w:r>
            <w:r w:rsidR="006976E0">
              <w:rPr>
                <w:sz w:val="16"/>
                <w:szCs w:val="16"/>
              </w:rPr>
              <w:t xml:space="preserve"> </w:t>
            </w:r>
            <w:r w:rsidR="00936C8A">
              <w:rPr>
                <w:sz w:val="16"/>
                <w:szCs w:val="16"/>
              </w:rPr>
              <w:br/>
              <w:t>(</w:t>
            </w:r>
            <w:r w:rsidR="00E54C04" w:rsidRPr="006F655C">
              <w:rPr>
                <w:sz w:val="16"/>
                <w:szCs w:val="16"/>
              </w:rPr>
              <w:t>80,</w:t>
            </w:r>
            <w:r w:rsidR="00936C8A">
              <w:rPr>
                <w:sz w:val="16"/>
                <w:szCs w:val="16"/>
              </w:rPr>
              <w:t xml:space="preserve"> </w:t>
            </w:r>
            <w:r w:rsidR="00E54C04" w:rsidRPr="006F655C">
              <w:rPr>
                <w:sz w:val="16"/>
                <w:szCs w:val="16"/>
              </w:rPr>
              <w:t>&lt;20</w:t>
            </w:r>
            <w:r w:rsidR="00936C8A">
              <w:rPr>
                <w:sz w:val="16"/>
                <w:szCs w:val="16"/>
              </w:rPr>
              <w:t>)</w:t>
            </w:r>
            <w:r w:rsidR="00E54C04" w:rsidRPr="006F655C">
              <w:rPr>
                <w:rStyle w:val="FootnoteReference"/>
                <w:sz w:val="16"/>
                <w:szCs w:val="16"/>
              </w:rPr>
              <w:footnoteReference w:id="6"/>
            </w:r>
          </w:p>
        </w:tc>
        <w:tc>
          <w:tcPr>
            <w:tcW w:w="918" w:type="dxa"/>
            <w:shd w:val="clear" w:color="auto" w:fill="auto"/>
          </w:tcPr>
          <w:p w14:paraId="68960EEB" w14:textId="0590221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0.75</w:t>
            </w:r>
            <w:r>
              <w:rPr>
                <w:sz w:val="16"/>
                <w:szCs w:val="16"/>
              </w:rPr>
              <w:t>)</w:t>
            </w:r>
          </w:p>
        </w:tc>
        <w:tc>
          <w:tcPr>
            <w:tcW w:w="1872" w:type="dxa"/>
            <w:shd w:val="clear" w:color="auto" w:fill="auto"/>
          </w:tcPr>
          <w:p w14:paraId="2BE4862F" w14:textId="3DF484C3"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4.80Mbp chromosome</w:t>
            </w:r>
          </w:p>
        </w:tc>
        <w:tc>
          <w:tcPr>
            <w:tcW w:w="990" w:type="dxa"/>
            <w:shd w:val="clear" w:color="auto" w:fill="auto"/>
          </w:tcPr>
          <w:p w14:paraId="74316730" w14:textId="0152378F" w:rsidR="00E54C04" w:rsidRPr="006F655C" w:rsidRDefault="00E54C04" w:rsidP="002314C5">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153</w:t>
            </w:r>
            <w:r w:rsidR="00752876">
              <w:rPr>
                <w:sz w:val="16"/>
                <w:szCs w:val="16"/>
              </w:rPr>
              <w:t>x</w:t>
            </w:r>
          </w:p>
        </w:tc>
      </w:tr>
      <w:tr w:rsidR="00936C8A" w:rsidRPr="006F655C" w14:paraId="0E5365B6" w14:textId="265082DE" w:rsidTr="00970698">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7C2BC4F0" w14:textId="3F1C3C35" w:rsidR="00E54C04" w:rsidRPr="006F655C" w:rsidRDefault="00E54C04" w:rsidP="002314C5">
            <w:pPr>
              <w:pStyle w:val="Normal2"/>
              <w:spacing w:line="276" w:lineRule="auto"/>
              <w:contextualSpacing/>
              <w:rPr>
                <w:sz w:val="16"/>
                <w:szCs w:val="16"/>
              </w:rPr>
            </w:pPr>
            <w:r w:rsidRPr="006F655C">
              <w:rPr>
                <w:sz w:val="16"/>
                <w:szCs w:val="16"/>
              </w:rPr>
              <w:t>3</w:t>
            </w:r>
          </w:p>
        </w:tc>
        <w:tc>
          <w:tcPr>
            <w:tcW w:w="1080" w:type="dxa"/>
            <w:shd w:val="clear" w:color="auto" w:fill="auto"/>
          </w:tcPr>
          <w:p w14:paraId="362F2240" w14:textId="61DE94EF"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+14</w:t>
            </w:r>
          </w:p>
        </w:tc>
        <w:tc>
          <w:tcPr>
            <w:tcW w:w="990" w:type="dxa"/>
            <w:shd w:val="clear" w:color="auto" w:fill="auto"/>
          </w:tcPr>
          <w:p w14:paraId="4941BCDA" w14:textId="1D77D6DC"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ISMMS4</w:t>
            </w:r>
          </w:p>
        </w:tc>
        <w:tc>
          <w:tcPr>
            <w:tcW w:w="900" w:type="dxa"/>
            <w:shd w:val="clear" w:color="auto" w:fill="auto"/>
          </w:tcPr>
          <w:p w14:paraId="79F6DB99" w14:textId="1EF7F0B3"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&gt;8</w:t>
            </w:r>
            <w:r w:rsidRPr="006F655C">
              <w:rPr>
                <w:sz w:val="16"/>
                <w:szCs w:val="16"/>
              </w:rPr>
              <w:t>)</w:t>
            </w:r>
          </w:p>
        </w:tc>
        <w:tc>
          <w:tcPr>
            <w:tcW w:w="900" w:type="dxa"/>
            <w:shd w:val="clear" w:color="auto" w:fill="auto"/>
          </w:tcPr>
          <w:p w14:paraId="7775FE4E" w14:textId="6DBE96F1" w:rsidR="00E54C04" w:rsidRPr="006F655C" w:rsidRDefault="00936C8A">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&gt;12</w:t>
            </w:r>
            <w:r w:rsidRPr="006F655C">
              <w:rPr>
                <w:sz w:val="16"/>
                <w:szCs w:val="16"/>
              </w:rPr>
              <w:t>)</w:t>
            </w:r>
          </w:p>
        </w:tc>
        <w:tc>
          <w:tcPr>
            <w:tcW w:w="990" w:type="dxa"/>
            <w:shd w:val="clear" w:color="auto" w:fill="auto"/>
          </w:tcPr>
          <w:p w14:paraId="3762A52E" w14:textId="05648544" w:rsidR="00936C8A" w:rsidRDefault="00512F22" w:rsidP="00A54E61">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w:t>
            </w:r>
          </w:p>
          <w:p w14:paraId="7E2AFF8B" w14:textId="66BBD600" w:rsidR="00E54C04" w:rsidRPr="006F655C" w:rsidRDefault="00936C8A" w:rsidP="003E5320">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i/>
                <w:color w:val="000000"/>
                <w:sz w:val="16"/>
                <w:szCs w:val="16"/>
              </w:rPr>
            </w:pPr>
            <w:r>
              <w:rPr>
                <w:sz w:val="16"/>
                <w:szCs w:val="16"/>
              </w:rPr>
              <w:t>(</w:t>
            </w:r>
            <w:r w:rsidR="00E54C04" w:rsidRPr="006F655C">
              <w:rPr>
                <w:sz w:val="16"/>
                <w:szCs w:val="16"/>
              </w:rPr>
              <w:t>0.5,</w:t>
            </w:r>
            <w:r>
              <w:rPr>
                <w:sz w:val="16"/>
                <w:szCs w:val="16"/>
              </w:rPr>
              <w:t xml:space="preserve"> </w:t>
            </w:r>
            <w:r w:rsidR="00E54C04" w:rsidRPr="006F655C">
              <w:rPr>
                <w:sz w:val="16"/>
                <w:szCs w:val="16"/>
              </w:rPr>
              <w:t>80</w:t>
            </w:r>
            <w:r>
              <w:rPr>
                <w:sz w:val="16"/>
                <w:szCs w:val="16"/>
              </w:rPr>
              <w:t>)</w:t>
            </w:r>
            <w:r w:rsidR="003E5320">
              <w:rPr>
                <w:sz w:val="16"/>
                <w:szCs w:val="16"/>
                <w:vertAlign w:val="superscript"/>
              </w:rPr>
              <w:t>c</w:t>
            </w:r>
          </w:p>
        </w:tc>
        <w:tc>
          <w:tcPr>
            <w:tcW w:w="918" w:type="dxa"/>
            <w:shd w:val="clear" w:color="auto" w:fill="auto"/>
          </w:tcPr>
          <w:p w14:paraId="7AA1C176" w14:textId="7955DED9"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0.75</w:t>
            </w:r>
            <w:r>
              <w:rPr>
                <w:sz w:val="16"/>
                <w:szCs w:val="16"/>
              </w:rPr>
              <w:t>)</w:t>
            </w:r>
          </w:p>
        </w:tc>
        <w:tc>
          <w:tcPr>
            <w:tcW w:w="1872" w:type="dxa"/>
            <w:shd w:val="clear" w:color="auto" w:fill="auto"/>
          </w:tcPr>
          <w:p w14:paraId="07A665D8" w14:textId="3349F9F1" w:rsidR="00E54C04" w:rsidRPr="006F655C" w:rsidRDefault="00E54C04" w:rsidP="00FE67EB">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 xml:space="preserve">3 </w:t>
            </w:r>
            <w:proofErr w:type="spellStart"/>
            <w:r w:rsidRPr="006F655C">
              <w:rPr>
                <w:sz w:val="16"/>
                <w:szCs w:val="16"/>
              </w:rPr>
              <w:t>contigs</w:t>
            </w:r>
            <w:proofErr w:type="spellEnd"/>
            <w:r w:rsidRPr="006F655C">
              <w:rPr>
                <w:sz w:val="16"/>
                <w:szCs w:val="16"/>
              </w:rPr>
              <w:t xml:space="preserve"> (4.73Mbp, 6.5kbp, 11.2kbp)</w:t>
            </w:r>
          </w:p>
        </w:tc>
        <w:tc>
          <w:tcPr>
            <w:tcW w:w="990" w:type="dxa"/>
            <w:shd w:val="clear" w:color="auto" w:fill="auto"/>
          </w:tcPr>
          <w:p w14:paraId="79B94959" w14:textId="4A2A2365" w:rsidR="00E54C04" w:rsidRPr="006F655C" w:rsidRDefault="00E54C04" w:rsidP="00FE67EB">
            <w:pPr>
              <w:pStyle w:val="Normal2"/>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303</w:t>
            </w:r>
            <w:r w:rsidR="00752876">
              <w:rPr>
                <w:sz w:val="16"/>
                <w:szCs w:val="16"/>
              </w:rPr>
              <w:t>x</w:t>
            </w:r>
          </w:p>
        </w:tc>
      </w:tr>
      <w:tr w:rsidR="00936C8A" w:rsidRPr="006F655C" w14:paraId="35806F46" w14:textId="543FDF34" w:rsidTr="00970698">
        <w:trPr>
          <w:trHeight w:val="701"/>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3071A49A" w14:textId="5E679FE3" w:rsidR="00E54C04" w:rsidRPr="006F655C" w:rsidRDefault="00E54C04" w:rsidP="002314C5">
            <w:pPr>
              <w:pStyle w:val="Normal2"/>
              <w:spacing w:line="276" w:lineRule="auto"/>
              <w:contextualSpacing/>
              <w:rPr>
                <w:sz w:val="16"/>
                <w:szCs w:val="16"/>
              </w:rPr>
            </w:pPr>
            <w:r w:rsidRPr="006F655C">
              <w:rPr>
                <w:sz w:val="16"/>
                <w:szCs w:val="16"/>
              </w:rPr>
              <w:t>4</w:t>
            </w:r>
          </w:p>
        </w:tc>
        <w:tc>
          <w:tcPr>
            <w:tcW w:w="1080" w:type="dxa"/>
            <w:shd w:val="clear" w:color="auto" w:fill="auto"/>
          </w:tcPr>
          <w:p w14:paraId="12C4653D" w14:textId="3304910E"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-32</w:t>
            </w:r>
          </w:p>
        </w:tc>
        <w:tc>
          <w:tcPr>
            <w:tcW w:w="990" w:type="dxa"/>
            <w:shd w:val="clear" w:color="auto" w:fill="auto"/>
          </w:tcPr>
          <w:p w14:paraId="136C9EF8" w14:textId="76E56E83"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ISMMS5</w:t>
            </w:r>
          </w:p>
        </w:tc>
        <w:tc>
          <w:tcPr>
            <w:tcW w:w="900" w:type="dxa"/>
            <w:shd w:val="clear" w:color="auto" w:fill="auto"/>
          </w:tcPr>
          <w:p w14:paraId="491B4059" w14:textId="477413E9"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00" w:type="dxa"/>
            <w:shd w:val="clear" w:color="auto" w:fill="auto"/>
          </w:tcPr>
          <w:p w14:paraId="03F72567" w14:textId="28B89929"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90" w:type="dxa"/>
            <w:shd w:val="clear" w:color="auto" w:fill="auto"/>
          </w:tcPr>
          <w:p w14:paraId="08933AF0" w14:textId="716C87B0"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355C4F7E" w14:textId="797A9772"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0.25</w:t>
            </w:r>
            <w:r>
              <w:rPr>
                <w:sz w:val="16"/>
                <w:szCs w:val="16"/>
              </w:rPr>
              <w:t>)</w:t>
            </w:r>
          </w:p>
        </w:tc>
        <w:tc>
          <w:tcPr>
            <w:tcW w:w="1872" w:type="dxa"/>
            <w:shd w:val="clear" w:color="auto" w:fill="auto"/>
          </w:tcPr>
          <w:p w14:paraId="62FE708C" w14:textId="38065444" w:rsidR="00E54C04" w:rsidRPr="006F655C" w:rsidRDefault="00E54C04" w:rsidP="00FE67EB">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 xml:space="preserve">18 </w:t>
            </w:r>
            <w:proofErr w:type="spellStart"/>
            <w:r w:rsidRPr="006F655C">
              <w:rPr>
                <w:sz w:val="16"/>
                <w:szCs w:val="16"/>
              </w:rPr>
              <w:t>contigs</w:t>
            </w:r>
            <w:proofErr w:type="spellEnd"/>
          </w:p>
        </w:tc>
        <w:tc>
          <w:tcPr>
            <w:tcW w:w="990" w:type="dxa"/>
            <w:shd w:val="clear" w:color="auto" w:fill="auto"/>
          </w:tcPr>
          <w:p w14:paraId="3162C21B" w14:textId="4D9CA73E" w:rsidR="00E54C04" w:rsidRPr="006F655C" w:rsidRDefault="00E54C04" w:rsidP="00FE67EB">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270</w:t>
            </w:r>
            <w:r w:rsidR="00752876">
              <w:rPr>
                <w:sz w:val="16"/>
                <w:szCs w:val="16"/>
              </w:rPr>
              <w:t>x</w:t>
            </w:r>
          </w:p>
        </w:tc>
      </w:tr>
      <w:tr w:rsidR="00936C8A" w:rsidRPr="006F655C" w14:paraId="3CC0FADD" w14:textId="34BD5515" w:rsidTr="0097069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1B399B36" w14:textId="7B76FC53" w:rsidR="00E54C04" w:rsidRPr="006F655C" w:rsidRDefault="00E54C04" w:rsidP="002314C5">
            <w:pPr>
              <w:pStyle w:val="Normal2"/>
              <w:spacing w:line="276" w:lineRule="auto"/>
              <w:contextualSpacing/>
              <w:rPr>
                <w:sz w:val="16"/>
                <w:szCs w:val="16"/>
              </w:rPr>
            </w:pPr>
            <w:r w:rsidRPr="006F655C">
              <w:rPr>
                <w:sz w:val="16"/>
                <w:szCs w:val="16"/>
              </w:rPr>
              <w:t>5</w:t>
            </w:r>
          </w:p>
        </w:tc>
        <w:tc>
          <w:tcPr>
            <w:tcW w:w="1080" w:type="dxa"/>
            <w:shd w:val="clear" w:color="auto" w:fill="auto"/>
          </w:tcPr>
          <w:p w14:paraId="0C0424BC" w14:textId="5ACD9D7C"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0</w:t>
            </w:r>
          </w:p>
        </w:tc>
        <w:tc>
          <w:tcPr>
            <w:tcW w:w="990" w:type="dxa"/>
            <w:shd w:val="clear" w:color="auto" w:fill="auto"/>
          </w:tcPr>
          <w:p w14:paraId="16020A07" w14:textId="1D1F8EAB" w:rsidR="00E54C04" w:rsidRPr="006F655C" w:rsidRDefault="00E54C04"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ISMMS6</w:t>
            </w:r>
          </w:p>
        </w:tc>
        <w:tc>
          <w:tcPr>
            <w:tcW w:w="900" w:type="dxa"/>
            <w:shd w:val="clear" w:color="auto" w:fill="auto"/>
          </w:tcPr>
          <w:p w14:paraId="67477E31" w14:textId="096B605D"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S (</w:t>
            </w:r>
            <w:r w:rsidR="00E54C04" w:rsidRPr="006F655C">
              <w:rPr>
                <w:sz w:val="16"/>
                <w:szCs w:val="16"/>
              </w:rPr>
              <w:t>&lt;0.12</w:t>
            </w:r>
            <w:r w:rsidRPr="006F655C">
              <w:rPr>
                <w:sz w:val="16"/>
                <w:szCs w:val="16"/>
              </w:rPr>
              <w:t>)</w:t>
            </w:r>
          </w:p>
        </w:tc>
        <w:tc>
          <w:tcPr>
            <w:tcW w:w="900" w:type="dxa"/>
            <w:shd w:val="clear" w:color="auto" w:fill="auto"/>
          </w:tcPr>
          <w:p w14:paraId="507A223B" w14:textId="2AF62CFD"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S (</w:t>
            </w:r>
            <w:r w:rsidR="00E54C04" w:rsidRPr="006F655C">
              <w:rPr>
                <w:sz w:val="16"/>
                <w:szCs w:val="16"/>
              </w:rPr>
              <w:t>0.125</w:t>
            </w:r>
            <w:r w:rsidRPr="006F655C">
              <w:rPr>
                <w:sz w:val="16"/>
                <w:szCs w:val="16"/>
              </w:rPr>
              <w:t>)</w:t>
            </w:r>
          </w:p>
        </w:tc>
        <w:tc>
          <w:tcPr>
            <w:tcW w:w="990" w:type="dxa"/>
            <w:shd w:val="clear" w:color="auto" w:fill="auto"/>
          </w:tcPr>
          <w:p w14:paraId="66EB0967" w14:textId="36E5DCCF"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27C47403" w14:textId="086ECA44" w:rsidR="00E54C04" w:rsidRPr="006F655C" w:rsidRDefault="00936C8A" w:rsidP="002314C5">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1.5</w:t>
            </w:r>
            <w:r>
              <w:rPr>
                <w:sz w:val="16"/>
                <w:szCs w:val="16"/>
              </w:rPr>
              <w:t>)</w:t>
            </w:r>
          </w:p>
        </w:tc>
        <w:tc>
          <w:tcPr>
            <w:tcW w:w="1872" w:type="dxa"/>
            <w:shd w:val="clear" w:color="auto" w:fill="auto"/>
          </w:tcPr>
          <w:p w14:paraId="1F904AFE" w14:textId="65DB73A4" w:rsidR="00E54C04" w:rsidRPr="006F655C" w:rsidRDefault="00E54C04" w:rsidP="00FE67EB">
            <w:pPr>
              <w:pStyle w:val="Normal2"/>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 xml:space="preserve">10 </w:t>
            </w:r>
            <w:proofErr w:type="spellStart"/>
            <w:r w:rsidRPr="006F655C">
              <w:rPr>
                <w:sz w:val="16"/>
                <w:szCs w:val="16"/>
              </w:rPr>
              <w:t>contigs</w:t>
            </w:r>
            <w:proofErr w:type="spellEnd"/>
          </w:p>
        </w:tc>
        <w:tc>
          <w:tcPr>
            <w:tcW w:w="990" w:type="dxa"/>
            <w:shd w:val="clear" w:color="auto" w:fill="auto"/>
          </w:tcPr>
          <w:p w14:paraId="5E75E736" w14:textId="0DC8DAC1" w:rsidR="00E54C04" w:rsidRPr="006F655C" w:rsidRDefault="00E54C04" w:rsidP="00FE67EB">
            <w:pPr>
              <w:pStyle w:val="Normal2"/>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262</w:t>
            </w:r>
            <w:r w:rsidR="00752876">
              <w:rPr>
                <w:sz w:val="16"/>
                <w:szCs w:val="16"/>
              </w:rPr>
              <w:t>x</w:t>
            </w:r>
          </w:p>
        </w:tc>
      </w:tr>
      <w:tr w:rsidR="00936C8A" w:rsidRPr="006F655C" w14:paraId="7085C4AE" w14:textId="6C33E1A0" w:rsidTr="00970698">
        <w:trPr>
          <w:trHeight w:val="85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5264BAB0" w14:textId="1EBAF89C" w:rsidR="00E54C04" w:rsidRPr="006F655C" w:rsidRDefault="00E54C04" w:rsidP="002314C5">
            <w:pPr>
              <w:pStyle w:val="Normal2"/>
              <w:spacing w:line="276" w:lineRule="auto"/>
              <w:contextualSpacing/>
              <w:rPr>
                <w:sz w:val="16"/>
                <w:szCs w:val="16"/>
              </w:rPr>
            </w:pPr>
            <w:r w:rsidRPr="006F655C">
              <w:rPr>
                <w:sz w:val="16"/>
                <w:szCs w:val="16"/>
              </w:rPr>
              <w:t>6</w:t>
            </w:r>
          </w:p>
        </w:tc>
        <w:tc>
          <w:tcPr>
            <w:tcW w:w="1080" w:type="dxa"/>
            <w:shd w:val="clear" w:color="auto" w:fill="auto"/>
          </w:tcPr>
          <w:p w14:paraId="7D5AD9EF" w14:textId="513DA611"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w:t>
            </w:r>
          </w:p>
        </w:tc>
        <w:tc>
          <w:tcPr>
            <w:tcW w:w="990" w:type="dxa"/>
            <w:shd w:val="clear" w:color="auto" w:fill="auto"/>
          </w:tcPr>
          <w:p w14:paraId="2167AA86" w14:textId="440703DE" w:rsidR="00E54C04" w:rsidRPr="006F655C" w:rsidRDefault="00E54C04"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ISMMS7</w:t>
            </w:r>
          </w:p>
        </w:tc>
        <w:tc>
          <w:tcPr>
            <w:tcW w:w="900" w:type="dxa"/>
            <w:shd w:val="clear" w:color="auto" w:fill="auto"/>
          </w:tcPr>
          <w:p w14:paraId="2105A488" w14:textId="33D0EB41"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00" w:type="dxa"/>
            <w:shd w:val="clear" w:color="auto" w:fill="auto"/>
          </w:tcPr>
          <w:p w14:paraId="66FA8309" w14:textId="514B91B3"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0.75</w:t>
            </w:r>
            <w:r w:rsidRPr="006F655C">
              <w:rPr>
                <w:sz w:val="16"/>
                <w:szCs w:val="16"/>
              </w:rPr>
              <w:t>)</w:t>
            </w:r>
          </w:p>
        </w:tc>
        <w:tc>
          <w:tcPr>
            <w:tcW w:w="990" w:type="dxa"/>
            <w:shd w:val="clear" w:color="auto" w:fill="auto"/>
          </w:tcPr>
          <w:p w14:paraId="37AC2EBD" w14:textId="6ED5D21D" w:rsidR="00E54C04" w:rsidRPr="006F655C" w:rsidRDefault="00936C8A" w:rsidP="002314C5">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33B2345B" w14:textId="17B63092" w:rsidR="00E54C04" w:rsidRPr="006F655C" w:rsidRDefault="00936C8A" w:rsidP="007E6184">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1.5</w:t>
            </w:r>
            <w:r>
              <w:rPr>
                <w:sz w:val="16"/>
                <w:szCs w:val="16"/>
              </w:rPr>
              <w:t>)</w:t>
            </w:r>
          </w:p>
        </w:tc>
        <w:tc>
          <w:tcPr>
            <w:tcW w:w="1872" w:type="dxa"/>
            <w:shd w:val="clear" w:color="auto" w:fill="auto"/>
          </w:tcPr>
          <w:p w14:paraId="0DEDE098" w14:textId="36A359A1" w:rsidR="00E54C04" w:rsidRPr="006F655C" w:rsidRDefault="00E54C04" w:rsidP="007E6184">
            <w:pPr>
              <w:pStyle w:val="Normal2"/>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 xml:space="preserve">1 circular 4.69Mbp chromosome, 1 additional 17.7kbp </w:t>
            </w:r>
            <w:proofErr w:type="spellStart"/>
            <w:r w:rsidRPr="006F655C">
              <w:rPr>
                <w:sz w:val="16"/>
                <w:szCs w:val="16"/>
              </w:rPr>
              <w:t>contig</w:t>
            </w:r>
            <w:proofErr w:type="spellEnd"/>
          </w:p>
        </w:tc>
        <w:tc>
          <w:tcPr>
            <w:tcW w:w="990" w:type="dxa"/>
            <w:shd w:val="clear" w:color="auto" w:fill="auto"/>
          </w:tcPr>
          <w:p w14:paraId="1D639D41" w14:textId="6D7CE0CC" w:rsidR="00E54C04" w:rsidRPr="006F655C" w:rsidRDefault="00E54C04" w:rsidP="007E6184">
            <w:pPr>
              <w:pStyle w:val="Normal2"/>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318</w:t>
            </w:r>
            <w:r w:rsidR="00752876">
              <w:rPr>
                <w:sz w:val="16"/>
                <w:szCs w:val="16"/>
              </w:rPr>
              <w:t>x</w:t>
            </w:r>
          </w:p>
        </w:tc>
      </w:tr>
    </w:tbl>
    <w:p w14:paraId="48808976" w14:textId="77777777" w:rsidR="00C211BA" w:rsidRDefault="00C211BA" w:rsidP="002314C5">
      <w:pPr>
        <w:pStyle w:val="Normal2"/>
        <w:contextualSpacing/>
        <w:divId w:val="1194727850"/>
      </w:pPr>
    </w:p>
    <w:p w14:paraId="44381AE5" w14:textId="735A8CFE" w:rsidR="001819C3" w:rsidRPr="00970698" w:rsidRDefault="00CA0B7E" w:rsidP="009130C4">
      <w:pPr>
        <w:pStyle w:val="Normal2"/>
        <w:contextualSpacing/>
        <w:divId w:val="1194727850"/>
      </w:pPr>
      <w:r>
        <w:t xml:space="preserve">Abbreviations: </w:t>
      </w:r>
      <w:proofErr w:type="spellStart"/>
      <w:r>
        <w:t>Levo</w:t>
      </w:r>
      <w:proofErr w:type="spellEnd"/>
      <w:r>
        <w:t xml:space="preserve">, levofloxacin; </w:t>
      </w:r>
      <w:r w:rsidR="003F5ED3">
        <w:t>SXT</w:t>
      </w:r>
      <w:r>
        <w:t>, trimethoprim</w:t>
      </w:r>
      <w:r w:rsidR="003A1F33">
        <w:t>/</w:t>
      </w:r>
      <w:proofErr w:type="spellStart"/>
      <w:r w:rsidR="003F5ED3">
        <w:t>sulfamethoxazole</w:t>
      </w:r>
      <w:proofErr w:type="spellEnd"/>
      <w:r w:rsidR="005511C3">
        <w:t xml:space="preserve">; </w:t>
      </w:r>
      <w:r w:rsidR="00860236">
        <w:t>S, susceptible; R, resistant;</w:t>
      </w:r>
      <w:r w:rsidR="00616BFB">
        <w:t xml:space="preserve"> </w:t>
      </w:r>
      <w:r w:rsidR="00512F22">
        <w:t>U, undetermin</w:t>
      </w:r>
      <w:r w:rsidR="0079704F">
        <w:t>ed</w:t>
      </w:r>
      <w:r w:rsidR="00616BFB">
        <w:t>;</w:t>
      </w:r>
      <w:r w:rsidR="00860236">
        <w:t xml:space="preserve"> </w:t>
      </w:r>
      <w:proofErr w:type="spellStart"/>
      <w:r>
        <w:t>Mbp</w:t>
      </w:r>
      <w:proofErr w:type="spellEnd"/>
      <w:r>
        <w:t xml:space="preserve">, million base pairs; </w:t>
      </w:r>
      <w:proofErr w:type="spellStart"/>
      <w:r>
        <w:t>kbp</w:t>
      </w:r>
      <w:proofErr w:type="spellEnd"/>
      <w:r>
        <w:t>, thousand base pairs</w:t>
      </w:r>
      <w:r w:rsidR="00E54C04">
        <w:t>.</w:t>
      </w:r>
      <w:r w:rsidR="001819C3" w:rsidRPr="00970698">
        <w:br w:type="page"/>
      </w:r>
    </w:p>
    <w:p w14:paraId="5406A722" w14:textId="2951DC7B" w:rsidR="00306E1F" w:rsidRDefault="001E16A3" w:rsidP="00A54E61">
      <w:pPr>
        <w:pStyle w:val="Heading1"/>
        <w:divId w:val="1194727850"/>
      </w:pPr>
      <w:r>
        <w:t>Figure Legends</w:t>
      </w:r>
    </w:p>
    <w:p w14:paraId="06C0B0F8" w14:textId="763B345F" w:rsidR="00A46715" w:rsidRDefault="007A3287" w:rsidP="002314C5">
      <w:pPr>
        <w:pStyle w:val="Normal2"/>
        <w:contextualSpacing/>
        <w:divId w:val="1194727850"/>
      </w:pPr>
      <w:r>
        <w:rPr>
          <w:b/>
        </w:rPr>
        <w:t xml:space="preserve">Figure 1. </w:t>
      </w:r>
      <w:r w:rsidR="00B02EA6">
        <w:t>Single-</w:t>
      </w:r>
      <w:r w:rsidR="003F0B0C">
        <w:t>nucleotide variants (SNVs)</w:t>
      </w:r>
      <w:r w:rsidR="002B1BEC">
        <w:t xml:space="preserve"> observed</w:t>
      </w:r>
      <w:r w:rsidR="003F0B0C">
        <w:t xml:space="preserve"> </w:t>
      </w:r>
      <w:r>
        <w:t>in</w:t>
      </w:r>
      <w:r w:rsidR="002B1BEC">
        <w:t xml:space="preserve"> quinolone-resistant</w:t>
      </w:r>
      <w:r>
        <w:t xml:space="preserve"> </w:t>
      </w:r>
      <w:r>
        <w:rPr>
          <w:i/>
        </w:rPr>
        <w:t>S. maltophilia</w:t>
      </w:r>
      <w:r>
        <w:t xml:space="preserve"> </w:t>
      </w:r>
      <w:r w:rsidR="00FE7596">
        <w:t xml:space="preserve">clinical </w:t>
      </w:r>
      <w:r>
        <w:t xml:space="preserve">isolates. </w:t>
      </w:r>
      <w:r w:rsidR="005033F4" w:rsidRPr="00A54E61">
        <w:rPr>
          <w:b/>
          <w:i/>
        </w:rPr>
        <w:t>A</w:t>
      </w:r>
      <w:r w:rsidR="005033F4" w:rsidRPr="00A54E61">
        <w:t>,</w:t>
      </w:r>
      <w:r w:rsidRPr="00A54E61">
        <w:rPr>
          <w:b/>
        </w:rPr>
        <w:t xml:space="preserve"> </w:t>
      </w:r>
      <w:r w:rsidR="005033F4">
        <w:t>a</w:t>
      </w:r>
      <w:r>
        <w:t xml:space="preserve">ssembled circular chromosome for ISMMS2, including </w:t>
      </w:r>
      <w:r w:rsidR="00EA5F74">
        <w:t>predicted coding domain sequence</w:t>
      </w:r>
      <w:r w:rsidR="00F866C0">
        <w:t xml:space="preserve"> (CDS)</w:t>
      </w:r>
      <w:r>
        <w:t xml:space="preserve"> and n</w:t>
      </w:r>
      <w:r w:rsidR="00CA20B6">
        <w:t xml:space="preserve">oncoding </w:t>
      </w:r>
      <w:r>
        <w:t>RNA</w:t>
      </w:r>
      <w:r w:rsidR="00CA20B6">
        <w:t xml:space="preserve"> (</w:t>
      </w:r>
      <w:proofErr w:type="spellStart"/>
      <w:r w:rsidR="00CA20B6">
        <w:t>ncRNA</w:t>
      </w:r>
      <w:proofErr w:type="spellEnd"/>
      <w:r w:rsidR="00CA20B6">
        <w:t>)</w:t>
      </w:r>
      <w:r>
        <w:t xml:space="preserve"> features</w:t>
      </w:r>
      <w:r w:rsidR="00C53F41">
        <w:t xml:space="preserve"> drawn with </w:t>
      </w:r>
      <w:proofErr w:type="spellStart"/>
      <w:r w:rsidR="00C53F41">
        <w:t>ChromoZoom</w:t>
      </w:r>
      <w:proofErr w:type="spellEnd"/>
      <w:r w:rsidR="00C53F41">
        <w:t xml:space="preserve"> </w:t>
      </w:r>
      <w:r w:rsidR="00C53F41">
        <w:fldChar w:fldCharType="begin" w:fldLock="1"/>
      </w:r>
      <w:r w:rsidR="00CA5A5D">
        <w:instrText>ADDIN CSL_CITATION { "citationItems" : [ { "id" : "ITEM-1", "itemData" : { "DOI" : "10.1093/bioinformatics/bts695", "ISSN" : "1367-4811", "PMID" : "23220575", "abstract" : "UNLABELLED: Current web-based genome browsers require repetitious user input to scroll over long distances, alter the drawing density of elements or zoom through multiple orders of magnitude. Generally, either the server or the client is responsible for the majority of data processing, resulting in either servers having to receive and handle data relevant only to one user, or clients redundantly processing widely viewed data. ChromoZoom pre-renders and caches general-use tracks into tiled images on the server and serves them in an interactive web interface with inertial scrolling and precise, fluent zooming via the mouse wheel or trackpad. Custom tracks in several formats can be rendered by client-side code alongside the pre-rendered tracks, minimizing server load because of user-specific rendering and eliminating the need to transmit private data. ChromoZoom thereby enables rapid and simultaneous exploration of curated, experimental and personal genomic datasets. AVAILABILITY: Human and yeast genome researchers may browse recent assemblies within ChromoZoom at http://chromozoom.org/. Source code is available at http://github.com/rothlab/chromozoom/.", "author" : [ { "dropping-particle" : "", "family" : "Pak", "given" : "Theodore R.", "non-dropping-particle" : "", "parse-names" : false, "suffix" : "" }, { "dropping-particle" : "", "family" : "Roth", "given" : "Frederick P.", "non-dropping-particle" : "", "parse-names" : false, "suffix" : "" } ], "container-title" : "Bioinformatics (Oxford, England)", "id" : "ITEM-1", "issue" : "3", "issued" : { "date-parts" : [ [ "2013", "2", "1" ] ] }, "note" : "{:PMCID:PMC3562068}", "page" : "384-6", "title" : "ChromoZoom: a flexible, fluid, web-based genome browser.", "type" : "article-journal", "volume" : "29" }, "uris" : [ "http://www.mendeley.com/documents/?uuid=e922d65f-2bfb-4bb4-8ea1-d0133f06d5c5" ] } ], "mendeley" : { "formattedCitation" : "(23)", "plainTextFormattedCitation" : "(23)", "previouslyFormattedCitation" : "(23)" }, "properties" : { "noteIndex" : 0 }, "schema" : "https://github.com/citation-style-language/schema/raw/master/csl-citation.json" }</w:instrText>
      </w:r>
      <w:r w:rsidR="00C53F41">
        <w:fldChar w:fldCharType="separate"/>
      </w:r>
      <w:r w:rsidR="00AD1A4C" w:rsidRPr="00AD1A4C">
        <w:rPr>
          <w:noProof/>
        </w:rPr>
        <w:t>(23)</w:t>
      </w:r>
      <w:r w:rsidR="00C53F41">
        <w:fldChar w:fldCharType="end"/>
      </w:r>
      <w:r w:rsidR="009D2E1C">
        <w:t xml:space="preserve">. </w:t>
      </w:r>
      <w:r w:rsidR="005F4868">
        <w:t>Horizontal position corresponds to b</w:t>
      </w:r>
      <w:r w:rsidR="009D2E1C">
        <w:t xml:space="preserve">ase pair location. </w:t>
      </w:r>
      <w:r w:rsidR="00804C52">
        <w:t xml:space="preserve">The </w:t>
      </w:r>
      <w:proofErr w:type="spellStart"/>
      <w:r w:rsidR="00804C52">
        <w:rPr>
          <w:i/>
        </w:rPr>
        <w:t>sme</w:t>
      </w:r>
      <w:r w:rsidR="009A7064">
        <w:rPr>
          <w:i/>
        </w:rPr>
        <w:t>DEF</w:t>
      </w:r>
      <w:proofErr w:type="spellEnd"/>
      <w:r w:rsidR="00804C52">
        <w:t xml:space="preserve"> operon is shown in the </w:t>
      </w:r>
      <w:r w:rsidR="007B4964">
        <w:t>detail callout</w:t>
      </w:r>
      <w:r w:rsidR="00804C52">
        <w:t xml:space="preserve">, which highlights both </w:t>
      </w:r>
      <w:r w:rsidR="009A7064">
        <w:t xml:space="preserve">the </w:t>
      </w:r>
      <w:proofErr w:type="spellStart"/>
      <w:r w:rsidR="009A7064">
        <w:rPr>
          <w:i/>
        </w:rPr>
        <w:t>smeT</w:t>
      </w:r>
      <w:proofErr w:type="spellEnd"/>
      <w:r w:rsidR="009A7064">
        <w:t xml:space="preserve"> c.497T&gt;A </w:t>
      </w:r>
      <w:r w:rsidR="003F0B0C">
        <w:t>SNV</w:t>
      </w:r>
      <w:r w:rsidR="009A7064">
        <w:t xml:space="preserve"> </w:t>
      </w:r>
      <w:r w:rsidR="00B96C72">
        <w:t>that emerged in</w:t>
      </w:r>
      <w:r w:rsidR="009A7064">
        <w:t xml:space="preserve"> ISMMS2R</w:t>
      </w:r>
      <w:r w:rsidR="004C1A59">
        <w:t xml:space="preserve"> </w:t>
      </w:r>
      <w:r w:rsidR="00804C52">
        <w:t>and the aligned location of the</w:t>
      </w:r>
      <w:r w:rsidR="009A7064">
        <w:t xml:space="preserve"> </w:t>
      </w:r>
      <w:proofErr w:type="spellStart"/>
      <w:r w:rsidR="009A7064">
        <w:rPr>
          <w:i/>
        </w:rPr>
        <w:t>smeT</w:t>
      </w:r>
      <w:proofErr w:type="spellEnd"/>
      <w:r w:rsidR="00804C52">
        <w:t xml:space="preserve"> c.388C&gt;T </w:t>
      </w:r>
      <w:r w:rsidR="009A7064">
        <w:t>SNV</w:t>
      </w:r>
      <w:r w:rsidR="00696E5D">
        <w:t xml:space="preserve"> </w:t>
      </w:r>
      <w:r w:rsidR="00804C52">
        <w:t>(encoding a premature stop codon) in ISMMS4.</w:t>
      </w:r>
      <w:r w:rsidR="004B4BE9">
        <w:t xml:space="preserve"> </w:t>
      </w:r>
      <w:r w:rsidR="005747DC">
        <w:t xml:space="preserve">ISMMS2 and ISMMS2R are serial isolates from </w:t>
      </w:r>
      <w:r w:rsidR="0087066B">
        <w:t xml:space="preserve">a single </w:t>
      </w:r>
      <w:r w:rsidR="005747DC">
        <w:t>patient before and after development of quinolone resistance</w:t>
      </w:r>
      <w:r w:rsidR="004C1A59">
        <w:t>, while ISMMS4</w:t>
      </w:r>
      <w:r w:rsidR="004B2F72">
        <w:t xml:space="preserve"> </w:t>
      </w:r>
      <w:r w:rsidR="004C1A59">
        <w:t xml:space="preserve">was quinolone-resistant at </w:t>
      </w:r>
      <w:r w:rsidR="004B2F72">
        <w:t>initial</w:t>
      </w:r>
      <w:r w:rsidR="004C1A59">
        <w:t xml:space="preserve"> isolation</w:t>
      </w:r>
      <w:r w:rsidR="004B2F72">
        <w:t xml:space="preserve"> from a different patient</w:t>
      </w:r>
      <w:r w:rsidR="004B4BE9">
        <w:t>.</w:t>
      </w:r>
      <w:r w:rsidR="00804C52">
        <w:t xml:space="preserve"> </w:t>
      </w:r>
      <w:r w:rsidR="00804C52" w:rsidRPr="00A54E61">
        <w:rPr>
          <w:b/>
          <w:i/>
        </w:rPr>
        <w:t>B</w:t>
      </w:r>
      <w:r w:rsidR="005033F4" w:rsidRPr="00A54E61">
        <w:t>,</w:t>
      </w:r>
      <w:r w:rsidR="00804C52">
        <w:t xml:space="preserve"> </w:t>
      </w:r>
      <w:r w:rsidR="005033F4">
        <w:t>m</w:t>
      </w:r>
      <w:r w:rsidR="00804C52">
        <w:t xml:space="preserve">ultiple sequence alignment of part of the predicted </w:t>
      </w:r>
      <w:proofErr w:type="spellStart"/>
      <w:r w:rsidR="00804C52">
        <w:rPr>
          <w:i/>
        </w:rPr>
        <w:t>smeT</w:t>
      </w:r>
      <w:proofErr w:type="spellEnd"/>
      <w:r w:rsidR="00804C52">
        <w:t xml:space="preserve"> product in each of the clinical isolates, the D457 reference</w:t>
      </w:r>
      <w:r w:rsidR="00DF2578">
        <w:t xml:space="preserve"> assembly</w:t>
      </w:r>
      <w:r w:rsidR="00804C52">
        <w:t>, and its quinolone resistant counterpart D457R</w:t>
      </w:r>
      <w:r w:rsidR="00D315B2">
        <w:t xml:space="preserve">. </w:t>
      </w:r>
      <w:r w:rsidR="00804C52">
        <w:t>Predicted α-helices</w:t>
      </w:r>
      <w:r w:rsidR="00D315B2">
        <w:t xml:space="preserve"> </w:t>
      </w:r>
      <w:r w:rsidR="00D315B2">
        <w:fldChar w:fldCharType="begin" w:fldLock="1"/>
      </w:r>
      <w:r w:rsidR="003868F1">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"mendeley" : { "formattedCitation" : "(13)", "plainTextFormattedCitation" : "(13)", "previouslyFormattedCitation" : "(13)" }, "properties" : { "noteIndex" : 0 }, "schema" : "https://github.com/citation-style-language/schema/raw/master/csl-citation.json" }</w:instrText>
      </w:r>
      <w:r w:rsidR="00D315B2">
        <w:fldChar w:fldCharType="separate"/>
      </w:r>
      <w:r w:rsidR="006A0ADD" w:rsidRPr="006A0ADD">
        <w:rPr>
          <w:noProof/>
        </w:rPr>
        <w:t>(13)</w:t>
      </w:r>
      <w:r w:rsidR="00D315B2">
        <w:fldChar w:fldCharType="end"/>
      </w:r>
      <w:r w:rsidR="00AB4AF3">
        <w:t xml:space="preserve"> </w:t>
      </w:r>
      <w:r w:rsidR="00804C52">
        <w:t>are labeled</w:t>
      </w:r>
      <w:r w:rsidR="00D315B2">
        <w:t xml:space="preserve"> as grey bars</w:t>
      </w:r>
      <w:r w:rsidR="00804C52">
        <w:t xml:space="preserve"> below the sequence</w:t>
      </w:r>
      <w:r w:rsidR="00D315B2">
        <w:t xml:space="preserve">. Positions identical in all sequences are shaded with a </w:t>
      </w:r>
      <w:r w:rsidR="00606413">
        <w:t xml:space="preserve">dark gray </w:t>
      </w:r>
      <w:r w:rsidR="00D315B2">
        <w:t>background, equivalent substitutions are typeset in red, and non-equivalent</w:t>
      </w:r>
      <w:r w:rsidR="00DB5692">
        <w:t xml:space="preserve"> substitutions are typeset in bold</w:t>
      </w:r>
      <w:r w:rsidR="00606413">
        <w:t>face</w:t>
      </w:r>
      <w:r w:rsidR="00DB5692">
        <w:t xml:space="preserve"> black.</w:t>
      </w:r>
      <w:r w:rsidR="000C698F">
        <w:t xml:space="preserve"> The L166Q and Q130*</w:t>
      </w:r>
      <w:r w:rsidR="00BB4054">
        <w:t xml:space="preserve"> (*, stop codon)</w:t>
      </w:r>
      <w:r w:rsidR="000C698F">
        <w:t xml:space="preserve"> polymorphisms are highlighted.</w:t>
      </w:r>
    </w:p>
    <w:p w14:paraId="12B1BDF1" w14:textId="6D05AD1A" w:rsidR="00A46715" w:rsidRPr="00A54E61" w:rsidRDefault="00A46715" w:rsidP="00A54E61"/>
    <w:sectPr w:rsidR="00A46715" w:rsidRPr="00A54E61" w:rsidSect="004C5914">
      <w:footnotePr>
        <w:numFmt w:val="lowerLetter"/>
        <w:numRestart w:val="eachSect"/>
      </w:footnotePr>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78E88" w14:textId="77777777" w:rsidR="00DE3BB3" w:rsidRDefault="00DE3BB3" w:rsidP="001819C3">
      <w:pPr>
        <w:spacing w:line="240" w:lineRule="auto"/>
      </w:pPr>
      <w:r>
        <w:separator/>
      </w:r>
    </w:p>
  </w:endnote>
  <w:endnote w:type="continuationSeparator" w:id="0">
    <w:p w14:paraId="3BE2E8FB" w14:textId="77777777" w:rsidR="00DE3BB3" w:rsidRDefault="00DE3BB3" w:rsidP="0018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Roboto Slab">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AD861" w14:textId="20D11342" w:rsidR="00DE3BB3" w:rsidRDefault="00DE3BB3" w:rsidP="00192861">
    <w:pPr>
      <w:pStyle w:val="Footer"/>
      <w:tabs>
        <w:tab w:val="clear" w:pos="864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A3A3F" w14:textId="77777777" w:rsidR="00DE3BB3" w:rsidRDefault="00DE3BB3" w:rsidP="001819C3">
      <w:pPr>
        <w:spacing w:line="240" w:lineRule="auto"/>
      </w:pPr>
      <w:r>
        <w:separator/>
      </w:r>
    </w:p>
  </w:footnote>
  <w:footnote w:type="continuationSeparator" w:id="0">
    <w:p w14:paraId="0AB8DB02" w14:textId="77777777" w:rsidR="00DE3BB3" w:rsidRDefault="00DE3BB3" w:rsidP="001819C3">
      <w:pPr>
        <w:spacing w:line="240" w:lineRule="auto"/>
      </w:pPr>
      <w:r>
        <w:continuationSeparator/>
      </w:r>
    </w:p>
  </w:footnote>
  <w:footnote w:id="1">
    <w:p w14:paraId="13F07A45" w14:textId="5911163C" w:rsidR="00DE3BB3" w:rsidRPr="00F052F5" w:rsidRDefault="00DE3BB3">
      <w:pPr>
        <w:pStyle w:val="FootnoteText"/>
        <w:rPr>
          <w:sz w:val="22"/>
          <w:szCs w:val="22"/>
        </w:rPr>
      </w:pPr>
      <w:r w:rsidRPr="00F052F5">
        <w:rPr>
          <w:rStyle w:val="FootnoteReference"/>
          <w:sz w:val="22"/>
          <w:szCs w:val="22"/>
        </w:rPr>
        <w:footnoteRef/>
      </w:r>
      <w:r w:rsidRPr="00F052F5">
        <w:rPr>
          <w:sz w:val="22"/>
          <w:szCs w:val="22"/>
        </w:rPr>
        <w:t xml:space="preserve"> </w:t>
      </w:r>
      <w:r>
        <w:rPr>
          <w:sz w:val="22"/>
          <w:szCs w:val="22"/>
        </w:rPr>
        <w:t xml:space="preserve">Icahn </w:t>
      </w:r>
      <w:r w:rsidRPr="00F052F5">
        <w:rPr>
          <w:sz w:val="22"/>
          <w:szCs w:val="22"/>
        </w:rPr>
        <w:t>Institute and Department of Genetics and Genomic Sciences, Icahn School of Medicine at Mount Sinai, New York, NY</w:t>
      </w:r>
    </w:p>
  </w:footnote>
  <w:footnote w:id="2">
    <w:p w14:paraId="0F4DB86E" w14:textId="2DDEE571" w:rsidR="00DE3BB3" w:rsidRPr="00F052F5" w:rsidRDefault="00DE3BB3">
      <w:pPr>
        <w:pStyle w:val="FootnoteText"/>
        <w:rPr>
          <w:sz w:val="22"/>
          <w:szCs w:val="22"/>
        </w:rPr>
      </w:pPr>
      <w:r w:rsidRPr="00F052F5">
        <w:rPr>
          <w:rStyle w:val="FootnoteReference"/>
          <w:sz w:val="22"/>
          <w:szCs w:val="22"/>
        </w:rPr>
        <w:footnoteRef/>
      </w:r>
      <w:r w:rsidRPr="00F052F5">
        <w:rPr>
          <w:sz w:val="22"/>
          <w:szCs w:val="22"/>
        </w:rPr>
        <w:t xml:space="preserve"> Division of Infectious Diseases, Department of Medicine, Icahn School of Medicine at Mount Sinai, New York, NY</w:t>
      </w:r>
    </w:p>
  </w:footnote>
  <w:footnote w:id="3">
    <w:p w14:paraId="3672EACD" w14:textId="1AD7CA4B" w:rsidR="00DE3BB3" w:rsidRDefault="00DE3BB3" w:rsidP="00F052F5">
      <w:pPr>
        <w:pStyle w:val="FootnoteText"/>
      </w:pPr>
      <w:r w:rsidRPr="00F052F5">
        <w:rPr>
          <w:rStyle w:val="FootnoteReference"/>
          <w:sz w:val="22"/>
          <w:szCs w:val="22"/>
        </w:rPr>
        <w:footnoteRef/>
      </w:r>
      <w:r w:rsidRPr="00F052F5">
        <w:rPr>
          <w:sz w:val="22"/>
          <w:szCs w:val="22"/>
        </w:rPr>
        <w:t xml:space="preserve"> Department of Pathology, Icahn School of Medicine at Mount Sinai, New York, NY</w:t>
      </w:r>
    </w:p>
  </w:footnote>
  <w:footnote w:id="4">
    <w:p w14:paraId="6CE8DE62" w14:textId="6C3FC906" w:rsidR="00DE3BB3" w:rsidRPr="009130C4" w:rsidRDefault="00DE3BB3">
      <w:pPr>
        <w:pStyle w:val="FootnoteText"/>
        <w:rPr>
          <w:sz w:val="22"/>
          <w:szCs w:val="22"/>
        </w:rPr>
      </w:pPr>
      <w:r w:rsidRPr="009130C4">
        <w:rPr>
          <w:rStyle w:val="FootnoteReference"/>
          <w:sz w:val="22"/>
          <w:szCs w:val="22"/>
        </w:rPr>
        <w:footnoteRef/>
      </w:r>
      <w:r w:rsidRPr="009130C4">
        <w:rPr>
          <w:sz w:val="22"/>
          <w:szCs w:val="22"/>
        </w:rPr>
        <w:t xml:space="preserve"> Time of collection was defined in </w:t>
      </w:r>
      <w:r w:rsidRPr="00745DE5">
        <w:rPr>
          <w:sz w:val="22"/>
          <w:szCs w:val="22"/>
        </w:rPr>
        <w:t>days relative to the date of collecting the</w:t>
      </w:r>
      <w:r w:rsidRPr="009130C4">
        <w:rPr>
          <w:sz w:val="22"/>
          <w:szCs w:val="22"/>
        </w:rPr>
        <w:t xml:space="preserve"> initial </w:t>
      </w:r>
      <w:r w:rsidRPr="009130C4">
        <w:rPr>
          <w:i/>
          <w:sz w:val="22"/>
          <w:szCs w:val="22"/>
        </w:rPr>
        <w:t>S. maltophilia</w:t>
      </w:r>
      <w:r w:rsidRPr="009130C4">
        <w:rPr>
          <w:sz w:val="22"/>
          <w:szCs w:val="22"/>
        </w:rPr>
        <w:t xml:space="preserve"> isolate in the case patient.</w:t>
      </w:r>
    </w:p>
  </w:footnote>
  <w:footnote w:id="5">
    <w:p w14:paraId="75F138FE" w14:textId="5E1019FC" w:rsidR="00DE3BB3" w:rsidRPr="00E847E0" w:rsidRDefault="00DE3BB3">
      <w:pPr>
        <w:pStyle w:val="FootnoteText"/>
        <w:rPr>
          <w:sz w:val="22"/>
          <w:szCs w:val="22"/>
        </w:rPr>
      </w:pPr>
      <w:r w:rsidRPr="00E61227">
        <w:rPr>
          <w:rStyle w:val="FootnoteReference"/>
          <w:sz w:val="22"/>
          <w:szCs w:val="22"/>
        </w:rPr>
        <w:footnoteRef/>
      </w:r>
      <w:r w:rsidRPr="00E847E0">
        <w:rPr>
          <w:sz w:val="22"/>
          <w:szCs w:val="22"/>
        </w:rPr>
        <w:t xml:space="preserve"> This is the change in levofloxacin susceptibility investigated in this study.</w:t>
      </w:r>
    </w:p>
  </w:footnote>
  <w:footnote w:id="6">
    <w:p w14:paraId="5A398EA5" w14:textId="77777777" w:rsidR="00DE3BB3" w:rsidRPr="00F052F5" w:rsidRDefault="00DE3BB3" w:rsidP="005D5B75">
      <w:pPr>
        <w:pStyle w:val="FootnoteText"/>
        <w:rPr>
          <w:sz w:val="22"/>
          <w:szCs w:val="22"/>
        </w:rPr>
      </w:pPr>
      <w:r w:rsidRPr="00E847E0">
        <w:rPr>
          <w:rStyle w:val="FootnoteReference"/>
          <w:sz w:val="22"/>
          <w:szCs w:val="22"/>
        </w:rPr>
        <w:footnoteRef/>
      </w:r>
      <w:r w:rsidRPr="00E847E0">
        <w:rPr>
          <w:sz w:val="22"/>
          <w:szCs w:val="22"/>
        </w:rPr>
        <w:t xml:space="preserve"> Inconsistent results were obtained in replicate.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0B81"/>
    <w:multiLevelType w:val="multilevel"/>
    <w:tmpl w:val="2E001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D95DB0"/>
    <w:multiLevelType w:val="multilevel"/>
    <w:tmpl w:val="F70C2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EA68AC"/>
    <w:multiLevelType w:val="multilevel"/>
    <w:tmpl w:val="C2466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4147A1"/>
    <w:multiLevelType w:val="multilevel"/>
    <w:tmpl w:val="7756B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2504208"/>
    <w:multiLevelType w:val="hybridMultilevel"/>
    <w:tmpl w:val="D5A481C0"/>
    <w:lvl w:ilvl="0" w:tplc="7C6A8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4"/>
  </w:compat>
  <w:rsids>
    <w:rsidRoot w:val="00BC294B"/>
    <w:rsid w:val="00000D0D"/>
    <w:rsid w:val="00002E8F"/>
    <w:rsid w:val="00004720"/>
    <w:rsid w:val="00005B0F"/>
    <w:rsid w:val="00011B67"/>
    <w:rsid w:val="00016F6F"/>
    <w:rsid w:val="0001792D"/>
    <w:rsid w:val="00021FDE"/>
    <w:rsid w:val="00024826"/>
    <w:rsid w:val="00024830"/>
    <w:rsid w:val="00026616"/>
    <w:rsid w:val="00031DCF"/>
    <w:rsid w:val="000330AC"/>
    <w:rsid w:val="00035F8F"/>
    <w:rsid w:val="000369D6"/>
    <w:rsid w:val="00037870"/>
    <w:rsid w:val="00037EB7"/>
    <w:rsid w:val="00040B71"/>
    <w:rsid w:val="00043D33"/>
    <w:rsid w:val="00045866"/>
    <w:rsid w:val="00046894"/>
    <w:rsid w:val="000512AE"/>
    <w:rsid w:val="00051A84"/>
    <w:rsid w:val="0005281A"/>
    <w:rsid w:val="00060D22"/>
    <w:rsid w:val="00061F84"/>
    <w:rsid w:val="0006274F"/>
    <w:rsid w:val="00071172"/>
    <w:rsid w:val="00072DDA"/>
    <w:rsid w:val="000731F3"/>
    <w:rsid w:val="00075CEB"/>
    <w:rsid w:val="00076D8B"/>
    <w:rsid w:val="000830EA"/>
    <w:rsid w:val="00083E8C"/>
    <w:rsid w:val="00085F4A"/>
    <w:rsid w:val="00087F5B"/>
    <w:rsid w:val="000907C5"/>
    <w:rsid w:val="00092768"/>
    <w:rsid w:val="00092E7F"/>
    <w:rsid w:val="000A174E"/>
    <w:rsid w:val="000A1A49"/>
    <w:rsid w:val="000A29E4"/>
    <w:rsid w:val="000A40E7"/>
    <w:rsid w:val="000A787D"/>
    <w:rsid w:val="000B0D37"/>
    <w:rsid w:val="000C1143"/>
    <w:rsid w:val="000C44C2"/>
    <w:rsid w:val="000C4D8E"/>
    <w:rsid w:val="000C4EA5"/>
    <w:rsid w:val="000C6191"/>
    <w:rsid w:val="000C698F"/>
    <w:rsid w:val="000D01E1"/>
    <w:rsid w:val="000D1FB8"/>
    <w:rsid w:val="000D2853"/>
    <w:rsid w:val="000D4479"/>
    <w:rsid w:val="000D61F6"/>
    <w:rsid w:val="000D6970"/>
    <w:rsid w:val="000E180C"/>
    <w:rsid w:val="000E3905"/>
    <w:rsid w:val="000E51DA"/>
    <w:rsid w:val="000F03F2"/>
    <w:rsid w:val="000F05A9"/>
    <w:rsid w:val="000F1DE1"/>
    <w:rsid w:val="000F333D"/>
    <w:rsid w:val="000F5B00"/>
    <w:rsid w:val="0010143E"/>
    <w:rsid w:val="0010450E"/>
    <w:rsid w:val="001061ED"/>
    <w:rsid w:val="00110936"/>
    <w:rsid w:val="00110EBF"/>
    <w:rsid w:val="00112868"/>
    <w:rsid w:val="0011322E"/>
    <w:rsid w:val="001145B1"/>
    <w:rsid w:val="00114F24"/>
    <w:rsid w:val="00122620"/>
    <w:rsid w:val="00122DAC"/>
    <w:rsid w:val="001234ED"/>
    <w:rsid w:val="00123635"/>
    <w:rsid w:val="0013460B"/>
    <w:rsid w:val="001359A3"/>
    <w:rsid w:val="00142834"/>
    <w:rsid w:val="00142F49"/>
    <w:rsid w:val="00143442"/>
    <w:rsid w:val="00155C85"/>
    <w:rsid w:val="001564B8"/>
    <w:rsid w:val="001603D8"/>
    <w:rsid w:val="00160789"/>
    <w:rsid w:val="001612A8"/>
    <w:rsid w:val="00163596"/>
    <w:rsid w:val="001658A2"/>
    <w:rsid w:val="001669F6"/>
    <w:rsid w:val="00170B68"/>
    <w:rsid w:val="00175682"/>
    <w:rsid w:val="00176337"/>
    <w:rsid w:val="0017680C"/>
    <w:rsid w:val="00177A8B"/>
    <w:rsid w:val="00180D7F"/>
    <w:rsid w:val="00181313"/>
    <w:rsid w:val="001819C3"/>
    <w:rsid w:val="00181ED4"/>
    <w:rsid w:val="001836A0"/>
    <w:rsid w:val="0018508F"/>
    <w:rsid w:val="00187361"/>
    <w:rsid w:val="00192861"/>
    <w:rsid w:val="00194CC3"/>
    <w:rsid w:val="00197DB6"/>
    <w:rsid w:val="001B0AA1"/>
    <w:rsid w:val="001B1B2A"/>
    <w:rsid w:val="001B220C"/>
    <w:rsid w:val="001B2601"/>
    <w:rsid w:val="001B335F"/>
    <w:rsid w:val="001B5E4E"/>
    <w:rsid w:val="001C010C"/>
    <w:rsid w:val="001C042F"/>
    <w:rsid w:val="001C2FCF"/>
    <w:rsid w:val="001C67AA"/>
    <w:rsid w:val="001D2496"/>
    <w:rsid w:val="001D276F"/>
    <w:rsid w:val="001D6F71"/>
    <w:rsid w:val="001E0DFE"/>
    <w:rsid w:val="001E16A3"/>
    <w:rsid w:val="001E3819"/>
    <w:rsid w:val="001E4380"/>
    <w:rsid w:val="001E46E9"/>
    <w:rsid w:val="001E4AC7"/>
    <w:rsid w:val="001E56B7"/>
    <w:rsid w:val="001E596C"/>
    <w:rsid w:val="001E5CA9"/>
    <w:rsid w:val="001F12BB"/>
    <w:rsid w:val="001F58A1"/>
    <w:rsid w:val="00204185"/>
    <w:rsid w:val="002117E3"/>
    <w:rsid w:val="00213633"/>
    <w:rsid w:val="00217C4A"/>
    <w:rsid w:val="00226ED5"/>
    <w:rsid w:val="002306F0"/>
    <w:rsid w:val="00230A0F"/>
    <w:rsid w:val="002314C5"/>
    <w:rsid w:val="00231CA0"/>
    <w:rsid w:val="00233931"/>
    <w:rsid w:val="00237D08"/>
    <w:rsid w:val="002401C6"/>
    <w:rsid w:val="0024634A"/>
    <w:rsid w:val="002472A4"/>
    <w:rsid w:val="00251B5E"/>
    <w:rsid w:val="002537CA"/>
    <w:rsid w:val="00253F21"/>
    <w:rsid w:val="00254AC9"/>
    <w:rsid w:val="00260319"/>
    <w:rsid w:val="00260E75"/>
    <w:rsid w:val="00262C78"/>
    <w:rsid w:val="00263DEF"/>
    <w:rsid w:val="0026670F"/>
    <w:rsid w:val="00267ED0"/>
    <w:rsid w:val="00267FEC"/>
    <w:rsid w:val="00272CAC"/>
    <w:rsid w:val="00272DBA"/>
    <w:rsid w:val="0027460F"/>
    <w:rsid w:val="00274C24"/>
    <w:rsid w:val="0027563E"/>
    <w:rsid w:val="002758C3"/>
    <w:rsid w:val="002772E5"/>
    <w:rsid w:val="00281B69"/>
    <w:rsid w:val="00282E79"/>
    <w:rsid w:val="00286DAD"/>
    <w:rsid w:val="002871DC"/>
    <w:rsid w:val="00291661"/>
    <w:rsid w:val="00293FFA"/>
    <w:rsid w:val="002A099F"/>
    <w:rsid w:val="002A7869"/>
    <w:rsid w:val="002B18CA"/>
    <w:rsid w:val="002B1BEC"/>
    <w:rsid w:val="002B5249"/>
    <w:rsid w:val="002C34DD"/>
    <w:rsid w:val="002C749A"/>
    <w:rsid w:val="002D0546"/>
    <w:rsid w:val="002D2515"/>
    <w:rsid w:val="002D27B2"/>
    <w:rsid w:val="002D4753"/>
    <w:rsid w:val="002D566D"/>
    <w:rsid w:val="002E1E63"/>
    <w:rsid w:val="002E4361"/>
    <w:rsid w:val="002E4BB9"/>
    <w:rsid w:val="002E7A79"/>
    <w:rsid w:val="002F0A85"/>
    <w:rsid w:val="002F17F9"/>
    <w:rsid w:val="002F1A6B"/>
    <w:rsid w:val="002F1D82"/>
    <w:rsid w:val="002F5135"/>
    <w:rsid w:val="002F5E8C"/>
    <w:rsid w:val="00300CE5"/>
    <w:rsid w:val="00302F5D"/>
    <w:rsid w:val="00305160"/>
    <w:rsid w:val="00306E1F"/>
    <w:rsid w:val="003072A6"/>
    <w:rsid w:val="003074BA"/>
    <w:rsid w:val="003112F0"/>
    <w:rsid w:val="00316856"/>
    <w:rsid w:val="00316A53"/>
    <w:rsid w:val="00320C10"/>
    <w:rsid w:val="00324B2F"/>
    <w:rsid w:val="0032601A"/>
    <w:rsid w:val="003275B6"/>
    <w:rsid w:val="00330D9F"/>
    <w:rsid w:val="00334EB9"/>
    <w:rsid w:val="00334FC2"/>
    <w:rsid w:val="00342AD1"/>
    <w:rsid w:val="00343C09"/>
    <w:rsid w:val="0034713E"/>
    <w:rsid w:val="00351DAC"/>
    <w:rsid w:val="003538E3"/>
    <w:rsid w:val="00354AF9"/>
    <w:rsid w:val="0035643E"/>
    <w:rsid w:val="00356742"/>
    <w:rsid w:val="003567EE"/>
    <w:rsid w:val="00356883"/>
    <w:rsid w:val="00357167"/>
    <w:rsid w:val="0035791F"/>
    <w:rsid w:val="00362067"/>
    <w:rsid w:val="00363C88"/>
    <w:rsid w:val="00367F11"/>
    <w:rsid w:val="003718A8"/>
    <w:rsid w:val="003805EE"/>
    <w:rsid w:val="00383D7C"/>
    <w:rsid w:val="00384663"/>
    <w:rsid w:val="003860A8"/>
    <w:rsid w:val="003868F1"/>
    <w:rsid w:val="0039726B"/>
    <w:rsid w:val="00397EFA"/>
    <w:rsid w:val="003A0EC3"/>
    <w:rsid w:val="003A193E"/>
    <w:rsid w:val="003A1F33"/>
    <w:rsid w:val="003A26CD"/>
    <w:rsid w:val="003A29AF"/>
    <w:rsid w:val="003A415A"/>
    <w:rsid w:val="003A4ABE"/>
    <w:rsid w:val="003A4C8F"/>
    <w:rsid w:val="003A65CC"/>
    <w:rsid w:val="003B2590"/>
    <w:rsid w:val="003B734B"/>
    <w:rsid w:val="003B788F"/>
    <w:rsid w:val="003C13C3"/>
    <w:rsid w:val="003C501A"/>
    <w:rsid w:val="003D1853"/>
    <w:rsid w:val="003D1E5F"/>
    <w:rsid w:val="003D61AA"/>
    <w:rsid w:val="003E3273"/>
    <w:rsid w:val="003E3606"/>
    <w:rsid w:val="003E3BFA"/>
    <w:rsid w:val="003E3D3F"/>
    <w:rsid w:val="003E446C"/>
    <w:rsid w:val="003E5320"/>
    <w:rsid w:val="003E593E"/>
    <w:rsid w:val="003E601E"/>
    <w:rsid w:val="003E745D"/>
    <w:rsid w:val="003E7E57"/>
    <w:rsid w:val="003F0AA6"/>
    <w:rsid w:val="003F0B0C"/>
    <w:rsid w:val="003F11CB"/>
    <w:rsid w:val="003F133E"/>
    <w:rsid w:val="003F4024"/>
    <w:rsid w:val="003F5ED3"/>
    <w:rsid w:val="0040182A"/>
    <w:rsid w:val="00401A4C"/>
    <w:rsid w:val="004035F6"/>
    <w:rsid w:val="004104B8"/>
    <w:rsid w:val="0041184A"/>
    <w:rsid w:val="004153EA"/>
    <w:rsid w:val="00416D53"/>
    <w:rsid w:val="004179D2"/>
    <w:rsid w:val="00422117"/>
    <w:rsid w:val="00423F38"/>
    <w:rsid w:val="00427B77"/>
    <w:rsid w:val="0043701A"/>
    <w:rsid w:val="0043760B"/>
    <w:rsid w:val="00437A96"/>
    <w:rsid w:val="00440F0F"/>
    <w:rsid w:val="004417D5"/>
    <w:rsid w:val="004421E2"/>
    <w:rsid w:val="004433A1"/>
    <w:rsid w:val="00443B2E"/>
    <w:rsid w:val="004449AC"/>
    <w:rsid w:val="00450030"/>
    <w:rsid w:val="00452B0D"/>
    <w:rsid w:val="00452B0F"/>
    <w:rsid w:val="00456076"/>
    <w:rsid w:val="00457D34"/>
    <w:rsid w:val="00460109"/>
    <w:rsid w:val="00463204"/>
    <w:rsid w:val="0046468D"/>
    <w:rsid w:val="00470F6B"/>
    <w:rsid w:val="0047243A"/>
    <w:rsid w:val="00475682"/>
    <w:rsid w:val="004764E5"/>
    <w:rsid w:val="00476D9E"/>
    <w:rsid w:val="0048087B"/>
    <w:rsid w:val="00480A59"/>
    <w:rsid w:val="00484866"/>
    <w:rsid w:val="00484A9C"/>
    <w:rsid w:val="0048597A"/>
    <w:rsid w:val="00485B87"/>
    <w:rsid w:val="0049031F"/>
    <w:rsid w:val="00490A97"/>
    <w:rsid w:val="004927F0"/>
    <w:rsid w:val="00492CDA"/>
    <w:rsid w:val="00495CE6"/>
    <w:rsid w:val="004A4179"/>
    <w:rsid w:val="004A7AA6"/>
    <w:rsid w:val="004B1012"/>
    <w:rsid w:val="004B1B6B"/>
    <w:rsid w:val="004B2F72"/>
    <w:rsid w:val="004B4B0E"/>
    <w:rsid w:val="004B4BE9"/>
    <w:rsid w:val="004C133D"/>
    <w:rsid w:val="004C1A59"/>
    <w:rsid w:val="004C3215"/>
    <w:rsid w:val="004C37DF"/>
    <w:rsid w:val="004C5914"/>
    <w:rsid w:val="004C6707"/>
    <w:rsid w:val="004C6EF5"/>
    <w:rsid w:val="004D1704"/>
    <w:rsid w:val="004D5DB1"/>
    <w:rsid w:val="004E3207"/>
    <w:rsid w:val="004E32EF"/>
    <w:rsid w:val="004E5846"/>
    <w:rsid w:val="004F3254"/>
    <w:rsid w:val="004F3255"/>
    <w:rsid w:val="004F38BE"/>
    <w:rsid w:val="004F48A0"/>
    <w:rsid w:val="004F5D4A"/>
    <w:rsid w:val="004F62FC"/>
    <w:rsid w:val="004F666E"/>
    <w:rsid w:val="00502B64"/>
    <w:rsid w:val="005033F4"/>
    <w:rsid w:val="00507E6F"/>
    <w:rsid w:val="0051147B"/>
    <w:rsid w:val="00512B8F"/>
    <w:rsid w:val="00512F22"/>
    <w:rsid w:val="0051317A"/>
    <w:rsid w:val="0052129A"/>
    <w:rsid w:val="005240AF"/>
    <w:rsid w:val="00524846"/>
    <w:rsid w:val="00525405"/>
    <w:rsid w:val="00525505"/>
    <w:rsid w:val="005358AB"/>
    <w:rsid w:val="0053609C"/>
    <w:rsid w:val="005368D7"/>
    <w:rsid w:val="00540ED3"/>
    <w:rsid w:val="00541B81"/>
    <w:rsid w:val="00541D6D"/>
    <w:rsid w:val="00541F96"/>
    <w:rsid w:val="0054261D"/>
    <w:rsid w:val="0054356D"/>
    <w:rsid w:val="00546720"/>
    <w:rsid w:val="00550FD5"/>
    <w:rsid w:val="005511C3"/>
    <w:rsid w:val="00553DC7"/>
    <w:rsid w:val="00555CB7"/>
    <w:rsid w:val="00561C02"/>
    <w:rsid w:val="0056493C"/>
    <w:rsid w:val="0056725C"/>
    <w:rsid w:val="0056727C"/>
    <w:rsid w:val="00570C16"/>
    <w:rsid w:val="005738F8"/>
    <w:rsid w:val="005747DC"/>
    <w:rsid w:val="0057510E"/>
    <w:rsid w:val="0057620E"/>
    <w:rsid w:val="00577AAF"/>
    <w:rsid w:val="00587205"/>
    <w:rsid w:val="00591367"/>
    <w:rsid w:val="00591BB1"/>
    <w:rsid w:val="00594BBF"/>
    <w:rsid w:val="00595D0E"/>
    <w:rsid w:val="00597B6C"/>
    <w:rsid w:val="00597E83"/>
    <w:rsid w:val="005A6F28"/>
    <w:rsid w:val="005B0E14"/>
    <w:rsid w:val="005B32FA"/>
    <w:rsid w:val="005B593B"/>
    <w:rsid w:val="005B5ED4"/>
    <w:rsid w:val="005B7324"/>
    <w:rsid w:val="005D1D31"/>
    <w:rsid w:val="005D5195"/>
    <w:rsid w:val="005D5B75"/>
    <w:rsid w:val="005D69D0"/>
    <w:rsid w:val="005D7608"/>
    <w:rsid w:val="005E0E23"/>
    <w:rsid w:val="005E1FDC"/>
    <w:rsid w:val="005E2349"/>
    <w:rsid w:val="005E4094"/>
    <w:rsid w:val="005E5CEE"/>
    <w:rsid w:val="005E7754"/>
    <w:rsid w:val="005F10FB"/>
    <w:rsid w:val="005F4868"/>
    <w:rsid w:val="005F4988"/>
    <w:rsid w:val="005F6183"/>
    <w:rsid w:val="00600180"/>
    <w:rsid w:val="006026E2"/>
    <w:rsid w:val="00603880"/>
    <w:rsid w:val="00605AB2"/>
    <w:rsid w:val="00606413"/>
    <w:rsid w:val="00606B5C"/>
    <w:rsid w:val="00610B6F"/>
    <w:rsid w:val="00614D0E"/>
    <w:rsid w:val="00615A74"/>
    <w:rsid w:val="00616BFB"/>
    <w:rsid w:val="00617067"/>
    <w:rsid w:val="00617166"/>
    <w:rsid w:val="0062059A"/>
    <w:rsid w:val="00620AD7"/>
    <w:rsid w:val="00626E30"/>
    <w:rsid w:val="00626EC4"/>
    <w:rsid w:val="0063034A"/>
    <w:rsid w:val="00634A4E"/>
    <w:rsid w:val="00635FFB"/>
    <w:rsid w:val="00637EB3"/>
    <w:rsid w:val="006424EB"/>
    <w:rsid w:val="006501E8"/>
    <w:rsid w:val="006618FA"/>
    <w:rsid w:val="006631B3"/>
    <w:rsid w:val="006636A8"/>
    <w:rsid w:val="00664AC9"/>
    <w:rsid w:val="00666EDE"/>
    <w:rsid w:val="00667717"/>
    <w:rsid w:val="00670055"/>
    <w:rsid w:val="00673F3D"/>
    <w:rsid w:val="00676BD9"/>
    <w:rsid w:val="00683EF7"/>
    <w:rsid w:val="00686330"/>
    <w:rsid w:val="00686635"/>
    <w:rsid w:val="006923A6"/>
    <w:rsid w:val="006952BC"/>
    <w:rsid w:val="00695C3B"/>
    <w:rsid w:val="00696CB6"/>
    <w:rsid w:val="00696E5D"/>
    <w:rsid w:val="006976E0"/>
    <w:rsid w:val="006A074C"/>
    <w:rsid w:val="006A0ADD"/>
    <w:rsid w:val="006A0D3E"/>
    <w:rsid w:val="006A12A6"/>
    <w:rsid w:val="006A3934"/>
    <w:rsid w:val="006A3A7D"/>
    <w:rsid w:val="006A3AA7"/>
    <w:rsid w:val="006A5E7C"/>
    <w:rsid w:val="006A6F51"/>
    <w:rsid w:val="006B1FB3"/>
    <w:rsid w:val="006B3900"/>
    <w:rsid w:val="006B40CE"/>
    <w:rsid w:val="006B5F31"/>
    <w:rsid w:val="006B695D"/>
    <w:rsid w:val="006B7296"/>
    <w:rsid w:val="006C07D6"/>
    <w:rsid w:val="006C11EF"/>
    <w:rsid w:val="006C4A54"/>
    <w:rsid w:val="006D11BC"/>
    <w:rsid w:val="006D49F1"/>
    <w:rsid w:val="006D532F"/>
    <w:rsid w:val="006E48A2"/>
    <w:rsid w:val="006E6523"/>
    <w:rsid w:val="006E77A0"/>
    <w:rsid w:val="006F0AC4"/>
    <w:rsid w:val="006F4239"/>
    <w:rsid w:val="006F4C38"/>
    <w:rsid w:val="006F4ECE"/>
    <w:rsid w:val="006F517B"/>
    <w:rsid w:val="006F655C"/>
    <w:rsid w:val="006F771A"/>
    <w:rsid w:val="00701498"/>
    <w:rsid w:val="00702C7E"/>
    <w:rsid w:val="007035CC"/>
    <w:rsid w:val="00703AA6"/>
    <w:rsid w:val="00705A81"/>
    <w:rsid w:val="00707D08"/>
    <w:rsid w:val="00712F9C"/>
    <w:rsid w:val="00715DBB"/>
    <w:rsid w:val="0071616D"/>
    <w:rsid w:val="007168C7"/>
    <w:rsid w:val="00716D53"/>
    <w:rsid w:val="00721F18"/>
    <w:rsid w:val="0072354F"/>
    <w:rsid w:val="0072417D"/>
    <w:rsid w:val="0072737E"/>
    <w:rsid w:val="00727769"/>
    <w:rsid w:val="007279FD"/>
    <w:rsid w:val="00730356"/>
    <w:rsid w:val="007317E0"/>
    <w:rsid w:val="00731F78"/>
    <w:rsid w:val="00733182"/>
    <w:rsid w:val="007438A8"/>
    <w:rsid w:val="007441C9"/>
    <w:rsid w:val="00745DE5"/>
    <w:rsid w:val="00746116"/>
    <w:rsid w:val="007501CF"/>
    <w:rsid w:val="00750BFF"/>
    <w:rsid w:val="00752876"/>
    <w:rsid w:val="00752BAF"/>
    <w:rsid w:val="00753530"/>
    <w:rsid w:val="00756380"/>
    <w:rsid w:val="007600EA"/>
    <w:rsid w:val="00760B3A"/>
    <w:rsid w:val="007618D3"/>
    <w:rsid w:val="007661F8"/>
    <w:rsid w:val="00773F55"/>
    <w:rsid w:val="007740D1"/>
    <w:rsid w:val="00775817"/>
    <w:rsid w:val="00781F8D"/>
    <w:rsid w:val="00782DF2"/>
    <w:rsid w:val="00783872"/>
    <w:rsid w:val="0078428F"/>
    <w:rsid w:val="00784722"/>
    <w:rsid w:val="0078541B"/>
    <w:rsid w:val="00787199"/>
    <w:rsid w:val="00792825"/>
    <w:rsid w:val="007930B6"/>
    <w:rsid w:val="007955C2"/>
    <w:rsid w:val="00796EE9"/>
    <w:rsid w:val="0079704F"/>
    <w:rsid w:val="00797C84"/>
    <w:rsid w:val="007A05C8"/>
    <w:rsid w:val="007A3287"/>
    <w:rsid w:val="007B09BE"/>
    <w:rsid w:val="007B4409"/>
    <w:rsid w:val="007B4964"/>
    <w:rsid w:val="007B4C1F"/>
    <w:rsid w:val="007B78FA"/>
    <w:rsid w:val="007C1AE3"/>
    <w:rsid w:val="007C2EB0"/>
    <w:rsid w:val="007C59DB"/>
    <w:rsid w:val="007D2EC1"/>
    <w:rsid w:val="007E2128"/>
    <w:rsid w:val="007E5735"/>
    <w:rsid w:val="007E57A7"/>
    <w:rsid w:val="007E6184"/>
    <w:rsid w:val="007E7624"/>
    <w:rsid w:val="007E7B66"/>
    <w:rsid w:val="007F00D8"/>
    <w:rsid w:val="007F2D6F"/>
    <w:rsid w:val="007F4484"/>
    <w:rsid w:val="007F532F"/>
    <w:rsid w:val="007F658C"/>
    <w:rsid w:val="007F7A1F"/>
    <w:rsid w:val="008028D2"/>
    <w:rsid w:val="00804978"/>
    <w:rsid w:val="00804C52"/>
    <w:rsid w:val="00807FC4"/>
    <w:rsid w:val="008102C4"/>
    <w:rsid w:val="0081054C"/>
    <w:rsid w:val="00815AAB"/>
    <w:rsid w:val="00817DF8"/>
    <w:rsid w:val="00820023"/>
    <w:rsid w:val="008201CA"/>
    <w:rsid w:val="00820BE5"/>
    <w:rsid w:val="00820F49"/>
    <w:rsid w:val="008218C1"/>
    <w:rsid w:val="008218C3"/>
    <w:rsid w:val="0082192A"/>
    <w:rsid w:val="00825039"/>
    <w:rsid w:val="008313C8"/>
    <w:rsid w:val="008343D2"/>
    <w:rsid w:val="00834F18"/>
    <w:rsid w:val="00835371"/>
    <w:rsid w:val="00836383"/>
    <w:rsid w:val="00836AA3"/>
    <w:rsid w:val="00840E26"/>
    <w:rsid w:val="00843626"/>
    <w:rsid w:val="0084528D"/>
    <w:rsid w:val="00846662"/>
    <w:rsid w:val="00854E53"/>
    <w:rsid w:val="008556D2"/>
    <w:rsid w:val="00855910"/>
    <w:rsid w:val="00855C8A"/>
    <w:rsid w:val="00860236"/>
    <w:rsid w:val="0087066B"/>
    <w:rsid w:val="00870758"/>
    <w:rsid w:val="00871AB6"/>
    <w:rsid w:val="00871DE5"/>
    <w:rsid w:val="00874777"/>
    <w:rsid w:val="00875C40"/>
    <w:rsid w:val="00876AF1"/>
    <w:rsid w:val="00877BEF"/>
    <w:rsid w:val="008809F5"/>
    <w:rsid w:val="00880D7C"/>
    <w:rsid w:val="008811E2"/>
    <w:rsid w:val="00883571"/>
    <w:rsid w:val="00884AA4"/>
    <w:rsid w:val="00884BDA"/>
    <w:rsid w:val="00886EFC"/>
    <w:rsid w:val="0089029E"/>
    <w:rsid w:val="00892BE6"/>
    <w:rsid w:val="00897635"/>
    <w:rsid w:val="008A02FF"/>
    <w:rsid w:val="008A0DEA"/>
    <w:rsid w:val="008A12FC"/>
    <w:rsid w:val="008A31AF"/>
    <w:rsid w:val="008A3E75"/>
    <w:rsid w:val="008B002F"/>
    <w:rsid w:val="008B09AC"/>
    <w:rsid w:val="008B48D6"/>
    <w:rsid w:val="008B5362"/>
    <w:rsid w:val="008B7B07"/>
    <w:rsid w:val="008C04C3"/>
    <w:rsid w:val="008C30AA"/>
    <w:rsid w:val="008C6852"/>
    <w:rsid w:val="008C73B0"/>
    <w:rsid w:val="008D669E"/>
    <w:rsid w:val="008D765A"/>
    <w:rsid w:val="008D76F2"/>
    <w:rsid w:val="008E06D0"/>
    <w:rsid w:val="008E15CB"/>
    <w:rsid w:val="008E329F"/>
    <w:rsid w:val="008E6E0B"/>
    <w:rsid w:val="008F1C28"/>
    <w:rsid w:val="008F47F4"/>
    <w:rsid w:val="008F6899"/>
    <w:rsid w:val="00900B72"/>
    <w:rsid w:val="0090197F"/>
    <w:rsid w:val="009021DE"/>
    <w:rsid w:val="0090515B"/>
    <w:rsid w:val="00905D7D"/>
    <w:rsid w:val="009122B6"/>
    <w:rsid w:val="009130C4"/>
    <w:rsid w:val="00915B68"/>
    <w:rsid w:val="00915D95"/>
    <w:rsid w:val="00917E47"/>
    <w:rsid w:val="00920F79"/>
    <w:rsid w:val="00923BCA"/>
    <w:rsid w:val="009257C6"/>
    <w:rsid w:val="00927AC9"/>
    <w:rsid w:val="00931058"/>
    <w:rsid w:val="0093181E"/>
    <w:rsid w:val="00932FA6"/>
    <w:rsid w:val="00936005"/>
    <w:rsid w:val="00936C8A"/>
    <w:rsid w:val="00937022"/>
    <w:rsid w:val="009421FB"/>
    <w:rsid w:val="00942448"/>
    <w:rsid w:val="009430A5"/>
    <w:rsid w:val="00947E9B"/>
    <w:rsid w:val="00950356"/>
    <w:rsid w:val="0095230C"/>
    <w:rsid w:val="00952DF1"/>
    <w:rsid w:val="00953123"/>
    <w:rsid w:val="00953156"/>
    <w:rsid w:val="00953DC4"/>
    <w:rsid w:val="009558EC"/>
    <w:rsid w:val="009609AC"/>
    <w:rsid w:val="009630C6"/>
    <w:rsid w:val="00963CD2"/>
    <w:rsid w:val="00970698"/>
    <w:rsid w:val="0097513B"/>
    <w:rsid w:val="009751FD"/>
    <w:rsid w:val="009762F8"/>
    <w:rsid w:val="009776B9"/>
    <w:rsid w:val="0098274C"/>
    <w:rsid w:val="009829EA"/>
    <w:rsid w:val="009859C6"/>
    <w:rsid w:val="00997F2E"/>
    <w:rsid w:val="009A0FD1"/>
    <w:rsid w:val="009A18B9"/>
    <w:rsid w:val="009A3BAE"/>
    <w:rsid w:val="009A7064"/>
    <w:rsid w:val="009A7F08"/>
    <w:rsid w:val="009B065D"/>
    <w:rsid w:val="009B0D59"/>
    <w:rsid w:val="009B28A4"/>
    <w:rsid w:val="009B5B5A"/>
    <w:rsid w:val="009B64E8"/>
    <w:rsid w:val="009B6968"/>
    <w:rsid w:val="009C16AE"/>
    <w:rsid w:val="009D2917"/>
    <w:rsid w:val="009D2E1C"/>
    <w:rsid w:val="009D5BEE"/>
    <w:rsid w:val="009D7ACF"/>
    <w:rsid w:val="009D7F68"/>
    <w:rsid w:val="009E0868"/>
    <w:rsid w:val="009E2678"/>
    <w:rsid w:val="009F3F68"/>
    <w:rsid w:val="009F5C85"/>
    <w:rsid w:val="009F5FA7"/>
    <w:rsid w:val="009F7D2A"/>
    <w:rsid w:val="00A01F50"/>
    <w:rsid w:val="00A04939"/>
    <w:rsid w:val="00A06BE4"/>
    <w:rsid w:val="00A07093"/>
    <w:rsid w:val="00A104DC"/>
    <w:rsid w:val="00A13D61"/>
    <w:rsid w:val="00A14D2C"/>
    <w:rsid w:val="00A1783C"/>
    <w:rsid w:val="00A21D41"/>
    <w:rsid w:val="00A241C8"/>
    <w:rsid w:val="00A24A32"/>
    <w:rsid w:val="00A26BA9"/>
    <w:rsid w:val="00A27A78"/>
    <w:rsid w:val="00A27F12"/>
    <w:rsid w:val="00A30897"/>
    <w:rsid w:val="00A32B45"/>
    <w:rsid w:val="00A33FC2"/>
    <w:rsid w:val="00A358E4"/>
    <w:rsid w:val="00A35D18"/>
    <w:rsid w:val="00A44B70"/>
    <w:rsid w:val="00A461A6"/>
    <w:rsid w:val="00A46715"/>
    <w:rsid w:val="00A51D5C"/>
    <w:rsid w:val="00A52FB0"/>
    <w:rsid w:val="00A54E61"/>
    <w:rsid w:val="00A6025B"/>
    <w:rsid w:val="00A61A53"/>
    <w:rsid w:val="00A6233D"/>
    <w:rsid w:val="00A63A6A"/>
    <w:rsid w:val="00A64FE5"/>
    <w:rsid w:val="00A72B55"/>
    <w:rsid w:val="00A745A0"/>
    <w:rsid w:val="00A75029"/>
    <w:rsid w:val="00A850F5"/>
    <w:rsid w:val="00A97FA9"/>
    <w:rsid w:val="00A97FC9"/>
    <w:rsid w:val="00AA32FE"/>
    <w:rsid w:val="00AA44A4"/>
    <w:rsid w:val="00AA6C4D"/>
    <w:rsid w:val="00AA78BF"/>
    <w:rsid w:val="00AA7A3F"/>
    <w:rsid w:val="00AB0202"/>
    <w:rsid w:val="00AB0B61"/>
    <w:rsid w:val="00AB1D02"/>
    <w:rsid w:val="00AB449A"/>
    <w:rsid w:val="00AB4AF3"/>
    <w:rsid w:val="00AC1885"/>
    <w:rsid w:val="00AC18A2"/>
    <w:rsid w:val="00AC36F4"/>
    <w:rsid w:val="00AC6F2E"/>
    <w:rsid w:val="00AD1A4C"/>
    <w:rsid w:val="00AE2523"/>
    <w:rsid w:val="00AE4614"/>
    <w:rsid w:val="00AE5BE5"/>
    <w:rsid w:val="00AE6DF9"/>
    <w:rsid w:val="00AE7DCA"/>
    <w:rsid w:val="00AF1E3E"/>
    <w:rsid w:val="00AF6095"/>
    <w:rsid w:val="00B02EA6"/>
    <w:rsid w:val="00B06156"/>
    <w:rsid w:val="00B06835"/>
    <w:rsid w:val="00B144D0"/>
    <w:rsid w:val="00B15091"/>
    <w:rsid w:val="00B15D69"/>
    <w:rsid w:val="00B162EE"/>
    <w:rsid w:val="00B17B46"/>
    <w:rsid w:val="00B228F1"/>
    <w:rsid w:val="00B237C8"/>
    <w:rsid w:val="00B253E9"/>
    <w:rsid w:val="00B2745B"/>
    <w:rsid w:val="00B30A25"/>
    <w:rsid w:val="00B3306E"/>
    <w:rsid w:val="00B34914"/>
    <w:rsid w:val="00B357A0"/>
    <w:rsid w:val="00B360F0"/>
    <w:rsid w:val="00B36672"/>
    <w:rsid w:val="00B423C9"/>
    <w:rsid w:val="00B4253B"/>
    <w:rsid w:val="00B435D4"/>
    <w:rsid w:val="00B44F21"/>
    <w:rsid w:val="00B451CD"/>
    <w:rsid w:val="00B46BB3"/>
    <w:rsid w:val="00B46DDC"/>
    <w:rsid w:val="00B47F38"/>
    <w:rsid w:val="00B517E2"/>
    <w:rsid w:val="00B518A6"/>
    <w:rsid w:val="00B528B7"/>
    <w:rsid w:val="00B57D78"/>
    <w:rsid w:val="00B63240"/>
    <w:rsid w:val="00B63873"/>
    <w:rsid w:val="00B6567B"/>
    <w:rsid w:val="00B664E7"/>
    <w:rsid w:val="00B66FD0"/>
    <w:rsid w:val="00B71A09"/>
    <w:rsid w:val="00B71D55"/>
    <w:rsid w:val="00B72681"/>
    <w:rsid w:val="00B76EB7"/>
    <w:rsid w:val="00B82E07"/>
    <w:rsid w:val="00B85183"/>
    <w:rsid w:val="00B859EA"/>
    <w:rsid w:val="00B90E25"/>
    <w:rsid w:val="00B92436"/>
    <w:rsid w:val="00B96C72"/>
    <w:rsid w:val="00B96D95"/>
    <w:rsid w:val="00BA1858"/>
    <w:rsid w:val="00BA4767"/>
    <w:rsid w:val="00BA69DD"/>
    <w:rsid w:val="00BB1656"/>
    <w:rsid w:val="00BB4054"/>
    <w:rsid w:val="00BB4A57"/>
    <w:rsid w:val="00BB57AB"/>
    <w:rsid w:val="00BB5F55"/>
    <w:rsid w:val="00BB61B5"/>
    <w:rsid w:val="00BB722E"/>
    <w:rsid w:val="00BC294B"/>
    <w:rsid w:val="00BC5531"/>
    <w:rsid w:val="00BD00AE"/>
    <w:rsid w:val="00BD4CD9"/>
    <w:rsid w:val="00BD66C0"/>
    <w:rsid w:val="00BD76E6"/>
    <w:rsid w:val="00BE0441"/>
    <w:rsid w:val="00BE4980"/>
    <w:rsid w:val="00BE57B3"/>
    <w:rsid w:val="00BE5FB3"/>
    <w:rsid w:val="00BE67B6"/>
    <w:rsid w:val="00BE7636"/>
    <w:rsid w:val="00BF64D4"/>
    <w:rsid w:val="00BF79B3"/>
    <w:rsid w:val="00C041DF"/>
    <w:rsid w:val="00C050F5"/>
    <w:rsid w:val="00C10037"/>
    <w:rsid w:val="00C108FD"/>
    <w:rsid w:val="00C11642"/>
    <w:rsid w:val="00C12740"/>
    <w:rsid w:val="00C15C6C"/>
    <w:rsid w:val="00C17129"/>
    <w:rsid w:val="00C211BA"/>
    <w:rsid w:val="00C2557C"/>
    <w:rsid w:val="00C25624"/>
    <w:rsid w:val="00C2612B"/>
    <w:rsid w:val="00C27333"/>
    <w:rsid w:val="00C27AEB"/>
    <w:rsid w:val="00C31218"/>
    <w:rsid w:val="00C31870"/>
    <w:rsid w:val="00C32524"/>
    <w:rsid w:val="00C37D61"/>
    <w:rsid w:val="00C40290"/>
    <w:rsid w:val="00C427E7"/>
    <w:rsid w:val="00C468B6"/>
    <w:rsid w:val="00C47942"/>
    <w:rsid w:val="00C519FC"/>
    <w:rsid w:val="00C53567"/>
    <w:rsid w:val="00C53CB9"/>
    <w:rsid w:val="00C53F41"/>
    <w:rsid w:val="00C54433"/>
    <w:rsid w:val="00C55961"/>
    <w:rsid w:val="00C61EB8"/>
    <w:rsid w:val="00C6217E"/>
    <w:rsid w:val="00C641BA"/>
    <w:rsid w:val="00C66E92"/>
    <w:rsid w:val="00C71004"/>
    <w:rsid w:val="00C74479"/>
    <w:rsid w:val="00C82BF0"/>
    <w:rsid w:val="00C82EF6"/>
    <w:rsid w:val="00C8308F"/>
    <w:rsid w:val="00C901AD"/>
    <w:rsid w:val="00C905CF"/>
    <w:rsid w:val="00C956D2"/>
    <w:rsid w:val="00C9765A"/>
    <w:rsid w:val="00CA090D"/>
    <w:rsid w:val="00CA0B7E"/>
    <w:rsid w:val="00CA1200"/>
    <w:rsid w:val="00CA20B6"/>
    <w:rsid w:val="00CA271B"/>
    <w:rsid w:val="00CA2FC0"/>
    <w:rsid w:val="00CA3DA4"/>
    <w:rsid w:val="00CA3F58"/>
    <w:rsid w:val="00CA5A5D"/>
    <w:rsid w:val="00CA5E76"/>
    <w:rsid w:val="00CA66B1"/>
    <w:rsid w:val="00CB1B60"/>
    <w:rsid w:val="00CB3E1F"/>
    <w:rsid w:val="00CC162D"/>
    <w:rsid w:val="00CC4199"/>
    <w:rsid w:val="00CC4EC8"/>
    <w:rsid w:val="00CD124B"/>
    <w:rsid w:val="00CD406B"/>
    <w:rsid w:val="00CD4C4A"/>
    <w:rsid w:val="00CE13D7"/>
    <w:rsid w:val="00CE15F0"/>
    <w:rsid w:val="00CE18A2"/>
    <w:rsid w:val="00CE6528"/>
    <w:rsid w:val="00CE6D95"/>
    <w:rsid w:val="00CF0C58"/>
    <w:rsid w:val="00CF6CCB"/>
    <w:rsid w:val="00D0141E"/>
    <w:rsid w:val="00D0149C"/>
    <w:rsid w:val="00D01FA2"/>
    <w:rsid w:val="00D03DD0"/>
    <w:rsid w:val="00D03DE4"/>
    <w:rsid w:val="00D05DAB"/>
    <w:rsid w:val="00D075A1"/>
    <w:rsid w:val="00D1002E"/>
    <w:rsid w:val="00D107A9"/>
    <w:rsid w:val="00D10E81"/>
    <w:rsid w:val="00D11C68"/>
    <w:rsid w:val="00D12200"/>
    <w:rsid w:val="00D12CAC"/>
    <w:rsid w:val="00D1354A"/>
    <w:rsid w:val="00D13CF0"/>
    <w:rsid w:val="00D149A6"/>
    <w:rsid w:val="00D15E39"/>
    <w:rsid w:val="00D207C9"/>
    <w:rsid w:val="00D220A0"/>
    <w:rsid w:val="00D240E1"/>
    <w:rsid w:val="00D30714"/>
    <w:rsid w:val="00D3072D"/>
    <w:rsid w:val="00D315B2"/>
    <w:rsid w:val="00D319F9"/>
    <w:rsid w:val="00D32305"/>
    <w:rsid w:val="00D33579"/>
    <w:rsid w:val="00D348C8"/>
    <w:rsid w:val="00D34E77"/>
    <w:rsid w:val="00D403F6"/>
    <w:rsid w:val="00D42562"/>
    <w:rsid w:val="00D44292"/>
    <w:rsid w:val="00D47A14"/>
    <w:rsid w:val="00D47F0F"/>
    <w:rsid w:val="00D51673"/>
    <w:rsid w:val="00D51955"/>
    <w:rsid w:val="00D51A6F"/>
    <w:rsid w:val="00D53CBB"/>
    <w:rsid w:val="00D54C5D"/>
    <w:rsid w:val="00D57F0D"/>
    <w:rsid w:val="00D6171E"/>
    <w:rsid w:val="00D63B6D"/>
    <w:rsid w:val="00D6701A"/>
    <w:rsid w:val="00D67BF5"/>
    <w:rsid w:val="00D729C4"/>
    <w:rsid w:val="00D77FD1"/>
    <w:rsid w:val="00D83039"/>
    <w:rsid w:val="00D83174"/>
    <w:rsid w:val="00D8654A"/>
    <w:rsid w:val="00D8717E"/>
    <w:rsid w:val="00D93E34"/>
    <w:rsid w:val="00DA0C03"/>
    <w:rsid w:val="00DA153F"/>
    <w:rsid w:val="00DA4697"/>
    <w:rsid w:val="00DA5452"/>
    <w:rsid w:val="00DB0083"/>
    <w:rsid w:val="00DB1637"/>
    <w:rsid w:val="00DB1F58"/>
    <w:rsid w:val="00DB2D43"/>
    <w:rsid w:val="00DB5692"/>
    <w:rsid w:val="00DB5A48"/>
    <w:rsid w:val="00DB6A07"/>
    <w:rsid w:val="00DC000C"/>
    <w:rsid w:val="00DC09AC"/>
    <w:rsid w:val="00DC2887"/>
    <w:rsid w:val="00DC3EC1"/>
    <w:rsid w:val="00DC55FB"/>
    <w:rsid w:val="00DC5865"/>
    <w:rsid w:val="00DD0438"/>
    <w:rsid w:val="00DD41F3"/>
    <w:rsid w:val="00DD62CC"/>
    <w:rsid w:val="00DD7DA0"/>
    <w:rsid w:val="00DE00A7"/>
    <w:rsid w:val="00DE0E07"/>
    <w:rsid w:val="00DE138C"/>
    <w:rsid w:val="00DE193A"/>
    <w:rsid w:val="00DE3BB3"/>
    <w:rsid w:val="00DE4315"/>
    <w:rsid w:val="00DE5C02"/>
    <w:rsid w:val="00DE6C05"/>
    <w:rsid w:val="00DE7F3E"/>
    <w:rsid w:val="00DF000C"/>
    <w:rsid w:val="00DF2578"/>
    <w:rsid w:val="00DF2635"/>
    <w:rsid w:val="00DF372F"/>
    <w:rsid w:val="00DF3CE9"/>
    <w:rsid w:val="00DF4324"/>
    <w:rsid w:val="00DF4DE5"/>
    <w:rsid w:val="00DF6F76"/>
    <w:rsid w:val="00E05D5F"/>
    <w:rsid w:val="00E14C54"/>
    <w:rsid w:val="00E208E3"/>
    <w:rsid w:val="00E213C0"/>
    <w:rsid w:val="00E2241E"/>
    <w:rsid w:val="00E24996"/>
    <w:rsid w:val="00E255DB"/>
    <w:rsid w:val="00E26522"/>
    <w:rsid w:val="00E27859"/>
    <w:rsid w:val="00E3405F"/>
    <w:rsid w:val="00E379E2"/>
    <w:rsid w:val="00E40B86"/>
    <w:rsid w:val="00E40DC5"/>
    <w:rsid w:val="00E42B08"/>
    <w:rsid w:val="00E47A11"/>
    <w:rsid w:val="00E47EF3"/>
    <w:rsid w:val="00E50C25"/>
    <w:rsid w:val="00E532B8"/>
    <w:rsid w:val="00E54C04"/>
    <w:rsid w:val="00E55281"/>
    <w:rsid w:val="00E60ECD"/>
    <w:rsid w:val="00E61227"/>
    <w:rsid w:val="00E636DD"/>
    <w:rsid w:val="00E64264"/>
    <w:rsid w:val="00E65BC8"/>
    <w:rsid w:val="00E6669E"/>
    <w:rsid w:val="00E67BC8"/>
    <w:rsid w:val="00E72AD8"/>
    <w:rsid w:val="00E73A58"/>
    <w:rsid w:val="00E75395"/>
    <w:rsid w:val="00E7590B"/>
    <w:rsid w:val="00E75B7C"/>
    <w:rsid w:val="00E81778"/>
    <w:rsid w:val="00E81C44"/>
    <w:rsid w:val="00E847E0"/>
    <w:rsid w:val="00E84B61"/>
    <w:rsid w:val="00E84C7F"/>
    <w:rsid w:val="00E86D01"/>
    <w:rsid w:val="00E91234"/>
    <w:rsid w:val="00E91688"/>
    <w:rsid w:val="00E93B90"/>
    <w:rsid w:val="00E96881"/>
    <w:rsid w:val="00EA3EAD"/>
    <w:rsid w:val="00EA56D2"/>
    <w:rsid w:val="00EA5F74"/>
    <w:rsid w:val="00EA632C"/>
    <w:rsid w:val="00EB1397"/>
    <w:rsid w:val="00EB619C"/>
    <w:rsid w:val="00EB7292"/>
    <w:rsid w:val="00EC281F"/>
    <w:rsid w:val="00EC72BE"/>
    <w:rsid w:val="00ED089C"/>
    <w:rsid w:val="00ED0CCC"/>
    <w:rsid w:val="00ED1671"/>
    <w:rsid w:val="00ED1D26"/>
    <w:rsid w:val="00EE56AB"/>
    <w:rsid w:val="00EE63C6"/>
    <w:rsid w:val="00EF2ED9"/>
    <w:rsid w:val="00EF6FA8"/>
    <w:rsid w:val="00F04259"/>
    <w:rsid w:val="00F052F5"/>
    <w:rsid w:val="00F07ADC"/>
    <w:rsid w:val="00F10354"/>
    <w:rsid w:val="00F1105E"/>
    <w:rsid w:val="00F132AB"/>
    <w:rsid w:val="00F13522"/>
    <w:rsid w:val="00F14966"/>
    <w:rsid w:val="00F15D47"/>
    <w:rsid w:val="00F208E4"/>
    <w:rsid w:val="00F22595"/>
    <w:rsid w:val="00F26234"/>
    <w:rsid w:val="00F301E0"/>
    <w:rsid w:val="00F337D3"/>
    <w:rsid w:val="00F3670E"/>
    <w:rsid w:val="00F36908"/>
    <w:rsid w:val="00F46B2B"/>
    <w:rsid w:val="00F500EC"/>
    <w:rsid w:val="00F5016E"/>
    <w:rsid w:val="00F50989"/>
    <w:rsid w:val="00F51492"/>
    <w:rsid w:val="00F51564"/>
    <w:rsid w:val="00F5230D"/>
    <w:rsid w:val="00F52D6E"/>
    <w:rsid w:val="00F554C0"/>
    <w:rsid w:val="00F5721F"/>
    <w:rsid w:val="00F57ECF"/>
    <w:rsid w:val="00F60A01"/>
    <w:rsid w:val="00F62863"/>
    <w:rsid w:val="00F63078"/>
    <w:rsid w:val="00F6441D"/>
    <w:rsid w:val="00F708F4"/>
    <w:rsid w:val="00F72F83"/>
    <w:rsid w:val="00F7450B"/>
    <w:rsid w:val="00F7529A"/>
    <w:rsid w:val="00F75E5B"/>
    <w:rsid w:val="00F8448F"/>
    <w:rsid w:val="00F85E81"/>
    <w:rsid w:val="00F866C0"/>
    <w:rsid w:val="00F9692A"/>
    <w:rsid w:val="00FA0797"/>
    <w:rsid w:val="00FA138B"/>
    <w:rsid w:val="00FA14BF"/>
    <w:rsid w:val="00FA1666"/>
    <w:rsid w:val="00FA3946"/>
    <w:rsid w:val="00FA4745"/>
    <w:rsid w:val="00FB22E6"/>
    <w:rsid w:val="00FB35BD"/>
    <w:rsid w:val="00FB3816"/>
    <w:rsid w:val="00FB4A0C"/>
    <w:rsid w:val="00FB74E9"/>
    <w:rsid w:val="00FC0715"/>
    <w:rsid w:val="00FD541A"/>
    <w:rsid w:val="00FD5FDB"/>
    <w:rsid w:val="00FD62F4"/>
    <w:rsid w:val="00FD78D4"/>
    <w:rsid w:val="00FE2312"/>
    <w:rsid w:val="00FE3409"/>
    <w:rsid w:val="00FE35DD"/>
    <w:rsid w:val="00FE3BA3"/>
    <w:rsid w:val="00FE5365"/>
    <w:rsid w:val="00FE67EB"/>
    <w:rsid w:val="00FE719B"/>
    <w:rsid w:val="00FE7596"/>
    <w:rsid w:val="00FF2244"/>
    <w:rsid w:val="00FF2EB3"/>
    <w:rsid w:val="00FF34F6"/>
    <w:rsid w:val="00FF5185"/>
    <w:rsid w:val="00FF6BB7"/>
    <w:rsid w:val="00FF7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9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4A"/>
    <w:pPr>
      <w:spacing w:line="480" w:lineRule="auto"/>
    </w:pPr>
  </w:style>
  <w:style w:type="paragraph" w:styleId="Heading1">
    <w:name w:val="heading 1"/>
    <w:basedOn w:val="Normal2"/>
    <w:next w:val="Normal2"/>
    <w:rsid w:val="008C30AA"/>
    <w:pPr>
      <w:keepNext/>
      <w:keepLines/>
      <w:spacing w:before="200" w:after="200"/>
      <w:contextualSpacing/>
      <w:outlineLvl w:val="0"/>
    </w:pPr>
    <w:rPr>
      <w:rFonts w:eastAsia="Roboto Slab" w:cs="Roboto Slab"/>
      <w:sz w:val="32"/>
    </w:rPr>
  </w:style>
  <w:style w:type="paragraph" w:styleId="Heading2">
    <w:name w:val="heading 2"/>
    <w:basedOn w:val="Normal2"/>
    <w:next w:val="Normal2"/>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2"/>
    <w:next w:val="Normal2"/>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2"/>
    <w:next w:val="Normal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2"/>
    <w:next w:val="Normal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2"/>
    <w:next w:val="Normal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63034A"/>
    <w:pPr>
      <w:spacing w:line="480" w:lineRule="auto"/>
    </w:pPr>
  </w:style>
  <w:style w:type="paragraph" w:styleId="Title">
    <w:name w:val="Title"/>
    <w:basedOn w:val="Normal2"/>
    <w:next w:val="Normal2"/>
    <w:pPr>
      <w:keepNext/>
      <w:keepLines/>
      <w:contextualSpacing/>
    </w:pPr>
    <w:rPr>
      <w:rFonts w:ascii="Roboto Slab" w:eastAsia="Roboto Slab" w:hAnsi="Roboto Slab" w:cs="Roboto Slab"/>
      <w:sz w:val="42"/>
    </w:rPr>
  </w:style>
  <w:style w:type="paragraph" w:styleId="Subtitle">
    <w:name w:val="Subtitle"/>
    <w:basedOn w:val="Normal2"/>
    <w:next w:val="Normal2"/>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63034A"/>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63034A"/>
    <w:pPr>
      <w:spacing w:line="480" w:lineRule="auto"/>
    </w:pPr>
  </w:style>
  <w:style w:type="character" w:styleId="Emphasis">
    <w:name w:val="Emphasis"/>
    <w:basedOn w:val="DefaultParagraphFont"/>
    <w:uiPriority w:val="20"/>
    <w:qFormat/>
    <w:rsid w:val="003A26CD"/>
    <w:rPr>
      <w:i/>
      <w:iCs/>
    </w:rPr>
  </w:style>
  <w:style w:type="character" w:customStyle="1" w:styleId="Heading2Char">
    <w:name w:val="Heading 2 Char"/>
    <w:basedOn w:val="DefaultParagraphFont"/>
    <w:link w:val="Heading2"/>
    <w:rsid w:val="00C71004"/>
    <w:rPr>
      <w:rFonts w:eastAsia="Roboto Slab" w:cs="Roboto Slab"/>
      <w:b/>
      <w:sz w:val="26"/>
    </w:rPr>
  </w:style>
  <w:style w:type="character" w:customStyle="1" w:styleId="Heading3Char">
    <w:name w:val="Heading 3 Char"/>
    <w:basedOn w:val="DefaultParagraphFont"/>
    <w:link w:val="Heading3"/>
    <w:rsid w:val="00C71004"/>
    <w:rPr>
      <w:rFonts w:eastAsia="Roboto Slab" w:cs="Roboto Slab"/>
      <w:i/>
      <w:color w:val="666666"/>
      <w:sz w:val="24"/>
    </w:rPr>
  </w:style>
  <w:style w:type="paragraph" w:styleId="Header">
    <w:name w:val="header"/>
    <w:basedOn w:val="Normal"/>
    <w:link w:val="HeaderChar"/>
    <w:uiPriority w:val="99"/>
    <w:unhideWhenUsed/>
    <w:rsid w:val="00192861"/>
    <w:pPr>
      <w:tabs>
        <w:tab w:val="center" w:pos="4320"/>
        <w:tab w:val="right" w:pos="8640"/>
      </w:tabs>
      <w:spacing w:line="240" w:lineRule="auto"/>
    </w:pPr>
  </w:style>
  <w:style w:type="character" w:customStyle="1" w:styleId="HeaderChar">
    <w:name w:val="Header Char"/>
    <w:basedOn w:val="DefaultParagraphFont"/>
    <w:link w:val="Header"/>
    <w:uiPriority w:val="99"/>
    <w:rsid w:val="00192861"/>
  </w:style>
  <w:style w:type="paragraph" w:styleId="Footer">
    <w:name w:val="footer"/>
    <w:basedOn w:val="Normal"/>
    <w:link w:val="FooterChar"/>
    <w:uiPriority w:val="99"/>
    <w:unhideWhenUsed/>
    <w:rsid w:val="00192861"/>
    <w:pPr>
      <w:tabs>
        <w:tab w:val="center" w:pos="4320"/>
        <w:tab w:val="right" w:pos="8640"/>
      </w:tabs>
      <w:spacing w:line="240" w:lineRule="auto"/>
    </w:pPr>
  </w:style>
  <w:style w:type="character" w:customStyle="1" w:styleId="FooterChar">
    <w:name w:val="Footer Char"/>
    <w:basedOn w:val="DefaultParagraphFont"/>
    <w:link w:val="Footer"/>
    <w:uiPriority w:val="99"/>
    <w:rsid w:val="00192861"/>
  </w:style>
  <w:style w:type="paragraph" w:styleId="ListParagraph">
    <w:name w:val="List Paragraph"/>
    <w:basedOn w:val="Normal"/>
    <w:uiPriority w:val="34"/>
    <w:qFormat/>
    <w:rsid w:val="001C2FCF"/>
    <w:pPr>
      <w:ind w:left="720"/>
      <w:contextualSpacing/>
    </w:pPr>
  </w:style>
  <w:style w:type="character" w:styleId="LineNumber">
    <w:name w:val="line number"/>
    <w:basedOn w:val="DefaultParagraphFont"/>
    <w:uiPriority w:val="99"/>
    <w:semiHidden/>
    <w:unhideWhenUsed/>
    <w:rsid w:val="000F333D"/>
  </w:style>
  <w:style w:type="paragraph" w:customStyle="1" w:styleId="Normal3">
    <w:name w:val="Normal3"/>
    <w:rsid w:val="000F05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4A"/>
    <w:pPr>
      <w:spacing w:line="480" w:lineRule="auto"/>
    </w:pPr>
  </w:style>
  <w:style w:type="paragraph" w:styleId="Heading1">
    <w:name w:val="heading 1"/>
    <w:basedOn w:val="Normal2"/>
    <w:next w:val="Normal2"/>
    <w:rsid w:val="008C30AA"/>
    <w:pPr>
      <w:keepNext/>
      <w:keepLines/>
      <w:spacing w:before="200" w:after="200"/>
      <w:contextualSpacing/>
      <w:outlineLvl w:val="0"/>
    </w:pPr>
    <w:rPr>
      <w:rFonts w:eastAsia="Roboto Slab" w:cs="Roboto Slab"/>
      <w:sz w:val="32"/>
    </w:rPr>
  </w:style>
  <w:style w:type="paragraph" w:styleId="Heading2">
    <w:name w:val="heading 2"/>
    <w:basedOn w:val="Normal2"/>
    <w:next w:val="Normal2"/>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2"/>
    <w:next w:val="Normal2"/>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2"/>
    <w:next w:val="Normal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2"/>
    <w:next w:val="Normal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2"/>
    <w:next w:val="Normal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63034A"/>
    <w:pPr>
      <w:spacing w:line="480" w:lineRule="auto"/>
    </w:pPr>
  </w:style>
  <w:style w:type="paragraph" w:styleId="Title">
    <w:name w:val="Title"/>
    <w:basedOn w:val="Normal2"/>
    <w:next w:val="Normal2"/>
    <w:pPr>
      <w:keepNext/>
      <w:keepLines/>
      <w:contextualSpacing/>
    </w:pPr>
    <w:rPr>
      <w:rFonts w:ascii="Roboto Slab" w:eastAsia="Roboto Slab" w:hAnsi="Roboto Slab" w:cs="Roboto Slab"/>
      <w:sz w:val="42"/>
    </w:rPr>
  </w:style>
  <w:style w:type="paragraph" w:styleId="Subtitle">
    <w:name w:val="Subtitle"/>
    <w:basedOn w:val="Normal2"/>
    <w:next w:val="Normal2"/>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63034A"/>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63034A"/>
    <w:pPr>
      <w:spacing w:line="480" w:lineRule="auto"/>
    </w:pPr>
  </w:style>
  <w:style w:type="character" w:styleId="Emphasis">
    <w:name w:val="Emphasis"/>
    <w:basedOn w:val="DefaultParagraphFont"/>
    <w:uiPriority w:val="20"/>
    <w:qFormat/>
    <w:rsid w:val="003A26CD"/>
    <w:rPr>
      <w:i/>
      <w:iCs/>
    </w:rPr>
  </w:style>
  <w:style w:type="character" w:customStyle="1" w:styleId="Heading2Char">
    <w:name w:val="Heading 2 Char"/>
    <w:basedOn w:val="DefaultParagraphFont"/>
    <w:link w:val="Heading2"/>
    <w:rsid w:val="00C71004"/>
    <w:rPr>
      <w:rFonts w:eastAsia="Roboto Slab" w:cs="Roboto Slab"/>
      <w:b/>
      <w:sz w:val="26"/>
    </w:rPr>
  </w:style>
  <w:style w:type="character" w:customStyle="1" w:styleId="Heading3Char">
    <w:name w:val="Heading 3 Char"/>
    <w:basedOn w:val="DefaultParagraphFont"/>
    <w:link w:val="Heading3"/>
    <w:rsid w:val="00C71004"/>
    <w:rPr>
      <w:rFonts w:eastAsia="Roboto Slab" w:cs="Roboto Slab"/>
      <w:i/>
      <w:color w:val="666666"/>
      <w:sz w:val="24"/>
    </w:rPr>
  </w:style>
  <w:style w:type="paragraph" w:styleId="Header">
    <w:name w:val="header"/>
    <w:basedOn w:val="Normal"/>
    <w:link w:val="HeaderChar"/>
    <w:uiPriority w:val="99"/>
    <w:unhideWhenUsed/>
    <w:rsid w:val="00192861"/>
    <w:pPr>
      <w:tabs>
        <w:tab w:val="center" w:pos="4320"/>
        <w:tab w:val="right" w:pos="8640"/>
      </w:tabs>
      <w:spacing w:line="240" w:lineRule="auto"/>
    </w:pPr>
  </w:style>
  <w:style w:type="character" w:customStyle="1" w:styleId="HeaderChar">
    <w:name w:val="Header Char"/>
    <w:basedOn w:val="DefaultParagraphFont"/>
    <w:link w:val="Header"/>
    <w:uiPriority w:val="99"/>
    <w:rsid w:val="00192861"/>
  </w:style>
  <w:style w:type="paragraph" w:styleId="Footer">
    <w:name w:val="footer"/>
    <w:basedOn w:val="Normal"/>
    <w:link w:val="FooterChar"/>
    <w:uiPriority w:val="99"/>
    <w:unhideWhenUsed/>
    <w:rsid w:val="00192861"/>
    <w:pPr>
      <w:tabs>
        <w:tab w:val="center" w:pos="4320"/>
        <w:tab w:val="right" w:pos="8640"/>
      </w:tabs>
      <w:spacing w:line="240" w:lineRule="auto"/>
    </w:pPr>
  </w:style>
  <w:style w:type="character" w:customStyle="1" w:styleId="FooterChar">
    <w:name w:val="Footer Char"/>
    <w:basedOn w:val="DefaultParagraphFont"/>
    <w:link w:val="Footer"/>
    <w:uiPriority w:val="99"/>
    <w:rsid w:val="00192861"/>
  </w:style>
  <w:style w:type="paragraph" w:styleId="ListParagraph">
    <w:name w:val="List Paragraph"/>
    <w:basedOn w:val="Normal"/>
    <w:uiPriority w:val="34"/>
    <w:qFormat/>
    <w:rsid w:val="001C2FCF"/>
    <w:pPr>
      <w:ind w:left="720"/>
      <w:contextualSpacing/>
    </w:pPr>
  </w:style>
  <w:style w:type="character" w:styleId="LineNumber">
    <w:name w:val="line number"/>
    <w:basedOn w:val="DefaultParagraphFont"/>
    <w:uiPriority w:val="99"/>
    <w:semiHidden/>
    <w:unhideWhenUsed/>
    <w:rsid w:val="000F333D"/>
  </w:style>
  <w:style w:type="paragraph" w:customStyle="1" w:styleId="Normal3">
    <w:name w:val="Normal3"/>
    <w:rsid w:val="000F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7541">
      <w:bodyDiv w:val="1"/>
      <w:marLeft w:val="0"/>
      <w:marRight w:val="0"/>
      <w:marTop w:val="0"/>
      <w:marBottom w:val="0"/>
      <w:divBdr>
        <w:top w:val="none" w:sz="0" w:space="0" w:color="auto"/>
        <w:left w:val="none" w:sz="0" w:space="0" w:color="auto"/>
        <w:bottom w:val="none" w:sz="0" w:space="0" w:color="auto"/>
        <w:right w:val="none" w:sz="0" w:space="0" w:color="auto"/>
      </w:divBdr>
    </w:div>
    <w:div w:id="301348925">
      <w:bodyDiv w:val="1"/>
      <w:marLeft w:val="0"/>
      <w:marRight w:val="0"/>
      <w:marTop w:val="0"/>
      <w:marBottom w:val="0"/>
      <w:divBdr>
        <w:top w:val="none" w:sz="0" w:space="0" w:color="auto"/>
        <w:left w:val="none" w:sz="0" w:space="0" w:color="auto"/>
        <w:bottom w:val="none" w:sz="0" w:space="0" w:color="auto"/>
        <w:right w:val="none" w:sz="0" w:space="0" w:color="auto"/>
      </w:divBdr>
      <w:divsChild>
        <w:div w:id="770778299">
          <w:marLeft w:val="0"/>
          <w:marRight w:val="0"/>
          <w:marTop w:val="0"/>
          <w:marBottom w:val="0"/>
          <w:divBdr>
            <w:top w:val="none" w:sz="0" w:space="0" w:color="auto"/>
            <w:left w:val="none" w:sz="0" w:space="0" w:color="auto"/>
            <w:bottom w:val="none" w:sz="0" w:space="0" w:color="auto"/>
            <w:right w:val="none" w:sz="0" w:space="0" w:color="auto"/>
          </w:divBdr>
          <w:divsChild>
            <w:div w:id="356007083">
              <w:marLeft w:val="0"/>
              <w:marRight w:val="0"/>
              <w:marTop w:val="0"/>
              <w:marBottom w:val="0"/>
              <w:divBdr>
                <w:top w:val="none" w:sz="0" w:space="0" w:color="auto"/>
                <w:left w:val="none" w:sz="0" w:space="0" w:color="auto"/>
                <w:bottom w:val="none" w:sz="0" w:space="0" w:color="auto"/>
                <w:right w:val="none" w:sz="0" w:space="0" w:color="auto"/>
              </w:divBdr>
              <w:divsChild>
                <w:div w:id="35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6723">
      <w:bodyDiv w:val="1"/>
      <w:marLeft w:val="0"/>
      <w:marRight w:val="0"/>
      <w:marTop w:val="0"/>
      <w:marBottom w:val="0"/>
      <w:divBdr>
        <w:top w:val="none" w:sz="0" w:space="0" w:color="auto"/>
        <w:left w:val="none" w:sz="0" w:space="0" w:color="auto"/>
        <w:bottom w:val="none" w:sz="0" w:space="0" w:color="auto"/>
        <w:right w:val="none" w:sz="0" w:space="0" w:color="auto"/>
      </w:divBdr>
    </w:div>
    <w:div w:id="348145341">
      <w:bodyDiv w:val="1"/>
      <w:marLeft w:val="0"/>
      <w:marRight w:val="0"/>
      <w:marTop w:val="0"/>
      <w:marBottom w:val="0"/>
      <w:divBdr>
        <w:top w:val="none" w:sz="0" w:space="0" w:color="auto"/>
        <w:left w:val="none" w:sz="0" w:space="0" w:color="auto"/>
        <w:bottom w:val="none" w:sz="0" w:space="0" w:color="auto"/>
        <w:right w:val="none" w:sz="0" w:space="0" w:color="auto"/>
      </w:divBdr>
    </w:div>
    <w:div w:id="488329121">
      <w:bodyDiv w:val="1"/>
      <w:marLeft w:val="0"/>
      <w:marRight w:val="0"/>
      <w:marTop w:val="0"/>
      <w:marBottom w:val="0"/>
      <w:divBdr>
        <w:top w:val="none" w:sz="0" w:space="0" w:color="auto"/>
        <w:left w:val="none" w:sz="0" w:space="0" w:color="auto"/>
        <w:bottom w:val="none" w:sz="0" w:space="0" w:color="auto"/>
        <w:right w:val="none" w:sz="0" w:space="0" w:color="auto"/>
      </w:divBdr>
    </w:div>
    <w:div w:id="619921468">
      <w:bodyDiv w:val="1"/>
      <w:marLeft w:val="0"/>
      <w:marRight w:val="0"/>
      <w:marTop w:val="0"/>
      <w:marBottom w:val="0"/>
      <w:divBdr>
        <w:top w:val="none" w:sz="0" w:space="0" w:color="auto"/>
        <w:left w:val="none" w:sz="0" w:space="0" w:color="auto"/>
        <w:bottom w:val="none" w:sz="0" w:space="0" w:color="auto"/>
        <w:right w:val="none" w:sz="0" w:space="0" w:color="auto"/>
      </w:divBdr>
    </w:div>
    <w:div w:id="834300848">
      <w:bodyDiv w:val="1"/>
      <w:marLeft w:val="0"/>
      <w:marRight w:val="0"/>
      <w:marTop w:val="0"/>
      <w:marBottom w:val="0"/>
      <w:divBdr>
        <w:top w:val="none" w:sz="0" w:space="0" w:color="auto"/>
        <w:left w:val="none" w:sz="0" w:space="0" w:color="auto"/>
        <w:bottom w:val="none" w:sz="0" w:space="0" w:color="auto"/>
        <w:right w:val="none" w:sz="0" w:space="0" w:color="auto"/>
      </w:divBdr>
    </w:div>
    <w:div w:id="908804280">
      <w:bodyDiv w:val="1"/>
      <w:marLeft w:val="0"/>
      <w:marRight w:val="0"/>
      <w:marTop w:val="0"/>
      <w:marBottom w:val="0"/>
      <w:divBdr>
        <w:top w:val="none" w:sz="0" w:space="0" w:color="auto"/>
        <w:left w:val="none" w:sz="0" w:space="0" w:color="auto"/>
        <w:bottom w:val="none" w:sz="0" w:space="0" w:color="auto"/>
        <w:right w:val="none" w:sz="0" w:space="0" w:color="auto"/>
      </w:divBdr>
    </w:div>
    <w:div w:id="1171335403">
      <w:bodyDiv w:val="1"/>
      <w:marLeft w:val="0"/>
      <w:marRight w:val="0"/>
      <w:marTop w:val="0"/>
      <w:marBottom w:val="0"/>
      <w:divBdr>
        <w:top w:val="none" w:sz="0" w:space="0" w:color="auto"/>
        <w:left w:val="none" w:sz="0" w:space="0" w:color="auto"/>
        <w:bottom w:val="none" w:sz="0" w:space="0" w:color="auto"/>
        <w:right w:val="none" w:sz="0" w:space="0" w:color="auto"/>
      </w:divBdr>
    </w:div>
    <w:div w:id="1221867667">
      <w:bodyDiv w:val="1"/>
      <w:marLeft w:val="0"/>
      <w:marRight w:val="0"/>
      <w:marTop w:val="0"/>
      <w:marBottom w:val="0"/>
      <w:divBdr>
        <w:top w:val="none" w:sz="0" w:space="0" w:color="auto"/>
        <w:left w:val="none" w:sz="0" w:space="0" w:color="auto"/>
        <w:bottom w:val="none" w:sz="0" w:space="0" w:color="auto"/>
        <w:right w:val="none" w:sz="0" w:space="0" w:color="auto"/>
      </w:divBdr>
    </w:div>
    <w:div w:id="1385982695">
      <w:bodyDiv w:val="1"/>
      <w:marLeft w:val="0"/>
      <w:marRight w:val="0"/>
      <w:marTop w:val="0"/>
      <w:marBottom w:val="0"/>
      <w:divBdr>
        <w:top w:val="none" w:sz="0" w:space="0" w:color="auto"/>
        <w:left w:val="none" w:sz="0" w:space="0" w:color="auto"/>
        <w:bottom w:val="none" w:sz="0" w:space="0" w:color="auto"/>
        <w:right w:val="none" w:sz="0" w:space="0" w:color="auto"/>
      </w:divBdr>
    </w:div>
    <w:div w:id="1434282603">
      <w:bodyDiv w:val="1"/>
      <w:marLeft w:val="0"/>
      <w:marRight w:val="0"/>
      <w:marTop w:val="0"/>
      <w:marBottom w:val="0"/>
      <w:divBdr>
        <w:top w:val="none" w:sz="0" w:space="0" w:color="auto"/>
        <w:left w:val="none" w:sz="0" w:space="0" w:color="auto"/>
        <w:bottom w:val="none" w:sz="0" w:space="0" w:color="auto"/>
        <w:right w:val="none" w:sz="0" w:space="0" w:color="auto"/>
      </w:divBdr>
    </w:div>
    <w:div w:id="1490516269">
      <w:bodyDiv w:val="1"/>
      <w:marLeft w:val="0"/>
      <w:marRight w:val="0"/>
      <w:marTop w:val="0"/>
      <w:marBottom w:val="0"/>
      <w:divBdr>
        <w:top w:val="none" w:sz="0" w:space="0" w:color="auto"/>
        <w:left w:val="none" w:sz="0" w:space="0" w:color="auto"/>
        <w:bottom w:val="none" w:sz="0" w:space="0" w:color="auto"/>
        <w:right w:val="none" w:sz="0" w:space="0" w:color="auto"/>
      </w:divBdr>
    </w:div>
    <w:div w:id="1688096312">
      <w:bodyDiv w:val="1"/>
      <w:marLeft w:val="0"/>
      <w:marRight w:val="0"/>
      <w:marTop w:val="0"/>
      <w:marBottom w:val="0"/>
      <w:divBdr>
        <w:top w:val="none" w:sz="0" w:space="0" w:color="auto"/>
        <w:left w:val="none" w:sz="0" w:space="0" w:color="auto"/>
        <w:bottom w:val="none" w:sz="0" w:space="0" w:color="auto"/>
        <w:right w:val="none" w:sz="0" w:space="0" w:color="auto"/>
      </w:divBdr>
    </w:div>
    <w:div w:id="1918855280">
      <w:bodyDiv w:val="1"/>
      <w:marLeft w:val="0"/>
      <w:marRight w:val="0"/>
      <w:marTop w:val="0"/>
      <w:marBottom w:val="0"/>
      <w:divBdr>
        <w:top w:val="none" w:sz="0" w:space="0" w:color="auto"/>
        <w:left w:val="none" w:sz="0" w:space="0" w:color="auto"/>
        <w:bottom w:val="none" w:sz="0" w:space="0" w:color="auto"/>
        <w:right w:val="none" w:sz="0" w:space="0" w:color="auto"/>
      </w:divBdr>
    </w:div>
    <w:div w:id="2030912650">
      <w:bodyDiv w:val="1"/>
      <w:marLeft w:val="0"/>
      <w:marRight w:val="0"/>
      <w:marTop w:val="0"/>
      <w:marBottom w:val="0"/>
      <w:divBdr>
        <w:top w:val="none" w:sz="0" w:space="0" w:color="auto"/>
        <w:left w:val="none" w:sz="0" w:space="0" w:color="auto"/>
        <w:bottom w:val="none" w:sz="0" w:space="0" w:color="auto"/>
        <w:right w:val="none" w:sz="0" w:space="0" w:color="auto"/>
      </w:divBdr>
      <w:divsChild>
        <w:div w:id="550507123">
          <w:marLeft w:val="0"/>
          <w:marRight w:val="0"/>
          <w:marTop w:val="0"/>
          <w:marBottom w:val="0"/>
          <w:divBdr>
            <w:top w:val="none" w:sz="0" w:space="0" w:color="auto"/>
            <w:left w:val="none" w:sz="0" w:space="0" w:color="auto"/>
            <w:bottom w:val="none" w:sz="0" w:space="0" w:color="auto"/>
            <w:right w:val="none" w:sz="0" w:space="0" w:color="auto"/>
          </w:divBdr>
          <w:divsChild>
            <w:div w:id="1263218603">
              <w:marLeft w:val="0"/>
              <w:marRight w:val="0"/>
              <w:marTop w:val="0"/>
              <w:marBottom w:val="0"/>
              <w:divBdr>
                <w:top w:val="none" w:sz="0" w:space="0" w:color="auto"/>
                <w:left w:val="none" w:sz="0" w:space="0" w:color="auto"/>
                <w:bottom w:val="none" w:sz="0" w:space="0" w:color="auto"/>
                <w:right w:val="none" w:sz="0" w:space="0" w:color="auto"/>
              </w:divBdr>
              <w:divsChild>
                <w:div w:id="1477337109">
                  <w:marLeft w:val="0"/>
                  <w:marRight w:val="0"/>
                  <w:marTop w:val="0"/>
                  <w:marBottom w:val="0"/>
                  <w:divBdr>
                    <w:top w:val="none" w:sz="0" w:space="0" w:color="auto"/>
                    <w:left w:val="none" w:sz="0" w:space="0" w:color="auto"/>
                    <w:bottom w:val="none" w:sz="0" w:space="0" w:color="auto"/>
                    <w:right w:val="none" w:sz="0" w:space="0" w:color="auto"/>
                  </w:divBdr>
                  <w:divsChild>
                    <w:div w:id="1842156304">
                      <w:marLeft w:val="0"/>
                      <w:marRight w:val="0"/>
                      <w:marTop w:val="0"/>
                      <w:marBottom w:val="0"/>
                      <w:divBdr>
                        <w:top w:val="none" w:sz="0" w:space="0" w:color="auto"/>
                        <w:left w:val="none" w:sz="0" w:space="0" w:color="auto"/>
                        <w:bottom w:val="none" w:sz="0" w:space="0" w:color="auto"/>
                        <w:right w:val="none" w:sz="0" w:space="0" w:color="auto"/>
                      </w:divBdr>
                      <w:divsChild>
                        <w:div w:id="433019059">
                          <w:marLeft w:val="0"/>
                          <w:marRight w:val="0"/>
                          <w:marTop w:val="0"/>
                          <w:marBottom w:val="0"/>
                          <w:divBdr>
                            <w:top w:val="none" w:sz="0" w:space="0" w:color="auto"/>
                            <w:left w:val="none" w:sz="0" w:space="0" w:color="auto"/>
                            <w:bottom w:val="none" w:sz="0" w:space="0" w:color="auto"/>
                            <w:right w:val="none" w:sz="0" w:space="0" w:color="auto"/>
                          </w:divBdr>
                          <w:divsChild>
                            <w:div w:id="1689067349">
                              <w:marLeft w:val="0"/>
                              <w:marRight w:val="0"/>
                              <w:marTop w:val="0"/>
                              <w:marBottom w:val="0"/>
                              <w:divBdr>
                                <w:top w:val="none" w:sz="0" w:space="0" w:color="auto"/>
                                <w:left w:val="none" w:sz="0" w:space="0" w:color="auto"/>
                                <w:bottom w:val="none" w:sz="0" w:space="0" w:color="auto"/>
                                <w:right w:val="none" w:sz="0" w:space="0" w:color="auto"/>
                              </w:divBdr>
                              <w:divsChild>
                                <w:div w:id="1829399018">
                                  <w:marLeft w:val="0"/>
                                  <w:marRight w:val="0"/>
                                  <w:marTop w:val="0"/>
                                  <w:marBottom w:val="0"/>
                                  <w:divBdr>
                                    <w:top w:val="none" w:sz="0" w:space="0" w:color="auto"/>
                                    <w:left w:val="none" w:sz="0" w:space="0" w:color="auto"/>
                                    <w:bottom w:val="none" w:sz="0" w:space="0" w:color="auto"/>
                                    <w:right w:val="none" w:sz="0" w:space="0" w:color="auto"/>
                                  </w:divBdr>
                                  <w:divsChild>
                                    <w:div w:id="25058952">
                                      <w:marLeft w:val="0"/>
                                      <w:marRight w:val="0"/>
                                      <w:marTop w:val="0"/>
                                      <w:marBottom w:val="0"/>
                                      <w:divBdr>
                                        <w:top w:val="none" w:sz="0" w:space="0" w:color="auto"/>
                                        <w:left w:val="none" w:sz="0" w:space="0" w:color="auto"/>
                                        <w:bottom w:val="none" w:sz="0" w:space="0" w:color="auto"/>
                                        <w:right w:val="none" w:sz="0" w:space="0" w:color="auto"/>
                                      </w:divBdr>
                                      <w:divsChild>
                                        <w:div w:id="1194727850">
                                          <w:marLeft w:val="0"/>
                                          <w:marRight w:val="0"/>
                                          <w:marTop w:val="0"/>
                                          <w:marBottom w:val="0"/>
                                          <w:divBdr>
                                            <w:top w:val="none" w:sz="0" w:space="0" w:color="auto"/>
                                            <w:left w:val="none" w:sz="0" w:space="0" w:color="auto"/>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sChild>
                                                <w:div w:id="1396270824">
                                                  <w:marLeft w:val="0"/>
                                                  <w:marRight w:val="0"/>
                                                  <w:marTop w:val="0"/>
                                                  <w:marBottom w:val="0"/>
                                                  <w:divBdr>
                                                    <w:top w:val="none" w:sz="0" w:space="0" w:color="auto"/>
                                                    <w:left w:val="none" w:sz="0" w:space="0" w:color="auto"/>
                                                    <w:bottom w:val="none" w:sz="0" w:space="0" w:color="auto"/>
                                                    <w:right w:val="none" w:sz="0" w:space="0" w:color="auto"/>
                                                  </w:divBdr>
                                                  <w:divsChild>
                                                    <w:div w:id="189538901">
                                                      <w:marLeft w:val="0"/>
                                                      <w:marRight w:val="0"/>
                                                      <w:marTop w:val="0"/>
                                                      <w:marBottom w:val="0"/>
                                                      <w:divBdr>
                                                        <w:top w:val="none" w:sz="0" w:space="0" w:color="auto"/>
                                                        <w:left w:val="none" w:sz="0" w:space="0" w:color="auto"/>
                                                        <w:bottom w:val="none" w:sz="0" w:space="0" w:color="auto"/>
                                                        <w:right w:val="none" w:sz="0" w:space="0" w:color="auto"/>
                                                      </w:divBdr>
                                                      <w:divsChild>
                                                        <w:div w:id="569853322">
                                                          <w:marLeft w:val="0"/>
                                                          <w:marRight w:val="0"/>
                                                          <w:marTop w:val="0"/>
                                                          <w:marBottom w:val="0"/>
                                                          <w:divBdr>
                                                            <w:top w:val="none" w:sz="0" w:space="0" w:color="auto"/>
                                                            <w:left w:val="none" w:sz="0" w:space="0" w:color="auto"/>
                                                            <w:bottom w:val="none" w:sz="0" w:space="0" w:color="auto"/>
                                                            <w:right w:val="none" w:sz="0" w:space="0" w:color="auto"/>
                                                          </w:divBdr>
                                                          <w:divsChild>
                                                            <w:div w:id="1066680401">
                                                              <w:marLeft w:val="0"/>
                                                              <w:marRight w:val="0"/>
                                                              <w:marTop w:val="0"/>
                                                              <w:marBottom w:val="0"/>
                                                              <w:divBdr>
                                                                <w:top w:val="none" w:sz="0" w:space="0" w:color="auto"/>
                                                                <w:left w:val="none" w:sz="0" w:space="0" w:color="auto"/>
                                                                <w:bottom w:val="none" w:sz="0" w:space="0" w:color="auto"/>
                                                                <w:right w:val="none" w:sz="0" w:space="0" w:color="auto"/>
                                                              </w:divBdr>
                                                              <w:divsChild>
                                                                <w:div w:id="1760906458">
                                                                  <w:marLeft w:val="0"/>
                                                                  <w:marRight w:val="0"/>
                                                                  <w:marTop w:val="0"/>
                                                                  <w:marBottom w:val="0"/>
                                                                  <w:divBdr>
                                                                    <w:top w:val="none" w:sz="0" w:space="0" w:color="auto"/>
                                                                    <w:left w:val="none" w:sz="0" w:space="0" w:color="auto"/>
                                                                    <w:bottom w:val="none" w:sz="0" w:space="0" w:color="auto"/>
                                                                    <w:right w:val="none" w:sz="0" w:space="0" w:color="auto"/>
                                                                  </w:divBdr>
                                                                  <w:divsChild>
                                                                    <w:div w:id="656571289">
                                                                      <w:marLeft w:val="0"/>
                                                                      <w:marRight w:val="0"/>
                                                                      <w:marTop w:val="0"/>
                                                                      <w:marBottom w:val="0"/>
                                                                      <w:divBdr>
                                                                        <w:top w:val="none" w:sz="0" w:space="0" w:color="auto"/>
                                                                        <w:left w:val="none" w:sz="0" w:space="0" w:color="auto"/>
                                                                        <w:bottom w:val="none" w:sz="0" w:space="0" w:color="auto"/>
                                                                        <w:right w:val="none" w:sz="0" w:space="0" w:color="auto"/>
                                                                      </w:divBdr>
                                                                      <w:divsChild>
                                                                        <w:div w:id="2110464482">
                                                                          <w:marLeft w:val="0"/>
                                                                          <w:marRight w:val="0"/>
                                                                          <w:marTop w:val="0"/>
                                                                          <w:marBottom w:val="0"/>
                                                                          <w:divBdr>
                                                                            <w:top w:val="none" w:sz="0" w:space="0" w:color="auto"/>
                                                                            <w:left w:val="none" w:sz="0" w:space="0" w:color="auto"/>
                                                                            <w:bottom w:val="none" w:sz="0" w:space="0" w:color="auto"/>
                                                                            <w:right w:val="none" w:sz="0" w:space="0" w:color="auto"/>
                                                                          </w:divBdr>
                                                                          <w:divsChild>
                                                                            <w:div w:id="105000965">
                                                                              <w:marLeft w:val="0"/>
                                                                              <w:marRight w:val="0"/>
                                                                              <w:marTop w:val="0"/>
                                                                              <w:marBottom w:val="0"/>
                                                                              <w:divBdr>
                                                                                <w:top w:val="none" w:sz="0" w:space="0" w:color="auto"/>
                                                                                <w:left w:val="none" w:sz="0" w:space="0" w:color="auto"/>
                                                                                <w:bottom w:val="none" w:sz="0" w:space="0" w:color="auto"/>
                                                                                <w:right w:val="none" w:sz="0" w:space="0" w:color="auto"/>
                                                                              </w:divBdr>
                                                                              <w:divsChild>
                                                                                <w:div w:id="533810408">
                                                                                  <w:marLeft w:val="0"/>
                                                                                  <w:marRight w:val="0"/>
                                                                                  <w:marTop w:val="0"/>
                                                                                  <w:marBottom w:val="0"/>
                                                                                  <w:divBdr>
                                                                                    <w:top w:val="none" w:sz="0" w:space="0" w:color="auto"/>
                                                                                    <w:left w:val="none" w:sz="0" w:space="0" w:color="auto"/>
                                                                                    <w:bottom w:val="none" w:sz="0" w:space="0" w:color="auto"/>
                                                                                    <w:right w:val="none" w:sz="0" w:space="0" w:color="auto"/>
                                                                                  </w:divBdr>
                                                                                  <w:divsChild>
                                                                                    <w:div w:id="835222641">
                                                                                      <w:marLeft w:val="0"/>
                                                                                      <w:marRight w:val="0"/>
                                                                                      <w:marTop w:val="0"/>
                                                                                      <w:marBottom w:val="0"/>
                                                                                      <w:divBdr>
                                                                                        <w:top w:val="none" w:sz="0" w:space="0" w:color="auto"/>
                                                                                        <w:left w:val="none" w:sz="0" w:space="0" w:color="auto"/>
                                                                                        <w:bottom w:val="none" w:sz="0" w:space="0" w:color="auto"/>
                                                                                        <w:right w:val="none" w:sz="0" w:space="0" w:color="auto"/>
                                                                                      </w:divBdr>
                                                                                      <w:divsChild>
                                                                                        <w:div w:id="2120637781">
                                                                                          <w:marLeft w:val="0"/>
                                                                                          <w:marRight w:val="0"/>
                                                                                          <w:marTop w:val="0"/>
                                                                                          <w:marBottom w:val="0"/>
                                                                                          <w:divBdr>
                                                                                            <w:top w:val="none" w:sz="0" w:space="0" w:color="auto"/>
                                                                                            <w:left w:val="none" w:sz="0" w:space="0" w:color="auto"/>
                                                                                            <w:bottom w:val="none" w:sz="0" w:space="0" w:color="auto"/>
                                                                                            <w:right w:val="none" w:sz="0" w:space="0" w:color="auto"/>
                                                                                          </w:divBdr>
                                                                                          <w:divsChild>
                                                                                            <w:div w:id="702442732">
                                                                                              <w:marLeft w:val="0"/>
                                                                                              <w:marRight w:val="0"/>
                                                                                              <w:marTop w:val="0"/>
                                                                                              <w:marBottom w:val="0"/>
                                                                                              <w:divBdr>
                                                                                                <w:top w:val="none" w:sz="0" w:space="0" w:color="auto"/>
                                                                                                <w:left w:val="none" w:sz="0" w:space="0" w:color="auto"/>
                                                                                                <w:bottom w:val="none" w:sz="0" w:space="0" w:color="auto"/>
                                                                                                <w:right w:val="none" w:sz="0" w:space="0" w:color="auto"/>
                                                                                              </w:divBdr>
                                                                                              <w:divsChild>
                                                                                                <w:div w:id="1361971307">
                                                                                                  <w:marLeft w:val="0"/>
                                                                                                  <w:marRight w:val="0"/>
                                                                                                  <w:marTop w:val="0"/>
                                                                                                  <w:marBottom w:val="0"/>
                                                                                                  <w:divBdr>
                                                                                                    <w:top w:val="none" w:sz="0" w:space="0" w:color="auto"/>
                                                                                                    <w:left w:val="none" w:sz="0" w:space="0" w:color="auto"/>
                                                                                                    <w:bottom w:val="none" w:sz="0" w:space="0" w:color="auto"/>
                                                                                                    <w:right w:val="none" w:sz="0" w:space="0" w:color="auto"/>
                                                                                                  </w:divBdr>
                                                                                                  <w:divsChild>
                                                                                                    <w:div w:id="1567178644">
                                                                                                      <w:marLeft w:val="0"/>
                                                                                                      <w:marRight w:val="0"/>
                                                                                                      <w:marTop w:val="0"/>
                                                                                                      <w:marBottom w:val="0"/>
                                                                                                      <w:divBdr>
                                                                                                        <w:top w:val="none" w:sz="0" w:space="0" w:color="auto"/>
                                                                                                        <w:left w:val="none" w:sz="0" w:space="0" w:color="auto"/>
                                                                                                        <w:bottom w:val="none" w:sz="0" w:space="0" w:color="auto"/>
                                                                                                        <w:right w:val="none" w:sz="0" w:space="0" w:color="auto"/>
                                                                                                      </w:divBdr>
                                                                                                      <w:divsChild>
                                                                                                        <w:div w:id="2020963897">
                                                                                                          <w:marLeft w:val="0"/>
                                                                                                          <w:marRight w:val="0"/>
                                                                                                          <w:marTop w:val="0"/>
                                                                                                          <w:marBottom w:val="0"/>
                                                                                                          <w:divBdr>
                                                                                                            <w:top w:val="none" w:sz="0" w:space="0" w:color="auto"/>
                                                                                                            <w:left w:val="none" w:sz="0" w:space="0" w:color="auto"/>
                                                                                                            <w:bottom w:val="none" w:sz="0" w:space="0" w:color="auto"/>
                                                                                                            <w:right w:val="none" w:sz="0" w:space="0" w:color="auto"/>
                                                                                                          </w:divBdr>
                                                                                                          <w:divsChild>
                                                                                                            <w:div w:id="1816098773">
                                                                                                              <w:marLeft w:val="0"/>
                                                                                                              <w:marRight w:val="0"/>
                                                                                                              <w:marTop w:val="0"/>
                                                                                                              <w:marBottom w:val="0"/>
                                                                                                              <w:divBdr>
                                                                                                                <w:top w:val="none" w:sz="0" w:space="0" w:color="auto"/>
                                                                                                                <w:left w:val="none" w:sz="0" w:space="0" w:color="auto"/>
                                                                                                                <w:bottom w:val="none" w:sz="0" w:space="0" w:color="auto"/>
                                                                                                                <w:right w:val="none" w:sz="0" w:space="0" w:color="auto"/>
                                                                                                              </w:divBdr>
                                                                                                              <w:divsChild>
                                                                                                                <w:div w:id="27417744">
                                                                                                                  <w:marLeft w:val="0"/>
                                                                                                                  <w:marRight w:val="0"/>
                                                                                                                  <w:marTop w:val="0"/>
                                                                                                                  <w:marBottom w:val="0"/>
                                                                                                                  <w:divBdr>
                                                                                                                    <w:top w:val="none" w:sz="0" w:space="0" w:color="auto"/>
                                                                                                                    <w:left w:val="none" w:sz="0" w:space="0" w:color="auto"/>
                                                                                                                    <w:bottom w:val="none" w:sz="0" w:space="0" w:color="auto"/>
                                                                                                                    <w:right w:val="none" w:sz="0" w:space="0" w:color="auto"/>
                                                                                                                  </w:divBdr>
                                                                                                                  <w:divsChild>
                                                                                                                    <w:div w:id="1995985711">
                                                                                                                      <w:marLeft w:val="0"/>
                                                                                                                      <w:marRight w:val="0"/>
                                                                                                                      <w:marTop w:val="0"/>
                                                                                                                      <w:marBottom w:val="0"/>
                                                                                                                      <w:divBdr>
                                                                                                                        <w:top w:val="none" w:sz="0" w:space="0" w:color="auto"/>
                                                                                                                        <w:left w:val="none" w:sz="0" w:space="0" w:color="auto"/>
                                                                                                                        <w:bottom w:val="none" w:sz="0" w:space="0" w:color="auto"/>
                                                                                                                        <w:right w:val="none" w:sz="0" w:space="0" w:color="auto"/>
                                                                                                                      </w:divBdr>
                                                                                                                      <w:divsChild>
                                                                                                                        <w:div w:id="1857888353">
                                                                                                                          <w:marLeft w:val="0"/>
                                                                                                                          <w:marRight w:val="0"/>
                                                                                                                          <w:marTop w:val="0"/>
                                                                                                                          <w:marBottom w:val="0"/>
                                                                                                                          <w:divBdr>
                                                                                                                            <w:top w:val="none" w:sz="0" w:space="0" w:color="auto"/>
                                                                                                                            <w:left w:val="none" w:sz="0" w:space="0" w:color="auto"/>
                                                                                                                            <w:bottom w:val="none" w:sz="0" w:space="0" w:color="auto"/>
                                                                                                                            <w:right w:val="none" w:sz="0" w:space="0" w:color="auto"/>
                                                                                                                          </w:divBdr>
                                                                                                                          <w:divsChild>
                                                                                                                            <w:div w:id="795023106">
                                                                                                                              <w:marLeft w:val="0"/>
                                                                                                                              <w:marRight w:val="0"/>
                                                                                                                              <w:marTop w:val="0"/>
                                                                                                                              <w:marBottom w:val="0"/>
                                                                                                                              <w:divBdr>
                                                                                                                                <w:top w:val="none" w:sz="0" w:space="0" w:color="auto"/>
                                                                                                                                <w:left w:val="none" w:sz="0" w:space="0" w:color="auto"/>
                                                                                                                                <w:bottom w:val="none" w:sz="0" w:space="0" w:color="auto"/>
                                                                                                                                <w:right w:val="none" w:sz="0" w:space="0" w:color="auto"/>
                                                                                                                              </w:divBdr>
                                                                                                                              <w:divsChild>
                                                                                                                                <w:div w:id="1894929596">
                                                                                                                                  <w:marLeft w:val="0"/>
                                                                                                                                  <w:marRight w:val="0"/>
                                                                                                                                  <w:marTop w:val="0"/>
                                                                                                                                  <w:marBottom w:val="0"/>
                                                                                                                                  <w:divBdr>
                                                                                                                                    <w:top w:val="none" w:sz="0" w:space="0" w:color="auto"/>
                                                                                                                                    <w:left w:val="none" w:sz="0" w:space="0" w:color="auto"/>
                                                                                                                                    <w:bottom w:val="none" w:sz="0" w:space="0" w:color="auto"/>
                                                                                                                                    <w:right w:val="none" w:sz="0" w:space="0" w:color="auto"/>
                                                                                                                                  </w:divBdr>
                                                                                                                                  <w:divsChild>
                                                                                                                                    <w:div w:id="801965831">
                                                                                                                                      <w:marLeft w:val="0"/>
                                                                                                                                      <w:marRight w:val="0"/>
                                                                                                                                      <w:marTop w:val="0"/>
                                                                                                                                      <w:marBottom w:val="0"/>
                                                                                                                                      <w:divBdr>
                                                                                                                                        <w:top w:val="none" w:sz="0" w:space="0" w:color="auto"/>
                                                                                                                                        <w:left w:val="none" w:sz="0" w:space="0" w:color="auto"/>
                                                                                                                                        <w:bottom w:val="none" w:sz="0" w:space="0" w:color="auto"/>
                                                                                                                                        <w:right w:val="none" w:sz="0" w:space="0" w:color="auto"/>
                                                                                                                                      </w:divBdr>
                                                                                                                                      <w:divsChild>
                                                                                                                                        <w:div w:id="663361422">
                                                                                                                                          <w:marLeft w:val="0"/>
                                                                                                                                          <w:marRight w:val="0"/>
                                                                                                                                          <w:marTop w:val="0"/>
                                                                                                                                          <w:marBottom w:val="0"/>
                                                                                                                                          <w:divBdr>
                                                                                                                                            <w:top w:val="none" w:sz="0" w:space="0" w:color="auto"/>
                                                                                                                                            <w:left w:val="none" w:sz="0" w:space="0" w:color="auto"/>
                                                                                                                                            <w:bottom w:val="none" w:sz="0" w:space="0" w:color="auto"/>
                                                                                                                                            <w:right w:val="none" w:sz="0" w:space="0" w:color="auto"/>
                                                                                                                                          </w:divBdr>
                                                                                                                                          <w:divsChild>
                                                                                                                                            <w:div w:id="238517540">
                                                                                                                                              <w:marLeft w:val="0"/>
                                                                                                                                              <w:marRight w:val="0"/>
                                                                                                                                              <w:marTop w:val="0"/>
                                                                                                                                              <w:marBottom w:val="0"/>
                                                                                                                                              <w:divBdr>
                                                                                                                                                <w:top w:val="none" w:sz="0" w:space="0" w:color="auto"/>
                                                                                                                                                <w:left w:val="none" w:sz="0" w:space="0" w:color="auto"/>
                                                                                                                                                <w:bottom w:val="none" w:sz="0" w:space="0" w:color="auto"/>
                                                                                                                                                <w:right w:val="none" w:sz="0" w:space="0" w:color="auto"/>
                                                                                                                                              </w:divBdr>
                                                                                                                                              <w:divsChild>
                                                                                                                                                <w:div w:id="1574312981">
                                                                                                                                                  <w:marLeft w:val="0"/>
                                                                                                                                                  <w:marRight w:val="0"/>
                                                                                                                                                  <w:marTop w:val="0"/>
                                                                                                                                                  <w:marBottom w:val="0"/>
                                                                                                                                                  <w:divBdr>
                                                                                                                                                    <w:top w:val="none" w:sz="0" w:space="0" w:color="auto"/>
                                                                                                                                                    <w:left w:val="none" w:sz="0" w:space="0" w:color="auto"/>
                                                                                                                                                    <w:bottom w:val="none" w:sz="0" w:space="0" w:color="auto"/>
                                                                                                                                                    <w:right w:val="none" w:sz="0" w:space="0" w:color="auto"/>
                                                                                                                                                  </w:divBdr>
                                                                                                                                                  <w:divsChild>
                                                                                                                                                    <w:div w:id="1792936156">
                                                                                                                                                      <w:marLeft w:val="0"/>
                                                                                                                                                      <w:marRight w:val="0"/>
                                                                                                                                                      <w:marTop w:val="0"/>
                                                                                                                                                      <w:marBottom w:val="0"/>
                                                                                                                                                      <w:divBdr>
                                                                                                                                                        <w:top w:val="none" w:sz="0" w:space="0" w:color="auto"/>
                                                                                                                                                        <w:left w:val="none" w:sz="0" w:space="0" w:color="auto"/>
                                                                                                                                                        <w:bottom w:val="none" w:sz="0" w:space="0" w:color="auto"/>
                                                                                                                                                        <w:right w:val="none" w:sz="0" w:space="0" w:color="auto"/>
                                                                                                                                                      </w:divBdr>
                                                                                                                                                      <w:divsChild>
                                                                                                                                                        <w:div w:id="1770933371">
                                                                                                                                                          <w:marLeft w:val="0"/>
                                                                                                                                                          <w:marRight w:val="0"/>
                                                                                                                                                          <w:marTop w:val="0"/>
                                                                                                                                                          <w:marBottom w:val="0"/>
                                                                                                                                                          <w:divBdr>
                                                                                                                                                            <w:top w:val="none" w:sz="0" w:space="0" w:color="auto"/>
                                                                                                                                                            <w:left w:val="none" w:sz="0" w:space="0" w:color="auto"/>
                                                                                                                                                            <w:bottom w:val="none" w:sz="0" w:space="0" w:color="auto"/>
                                                                                                                                                            <w:right w:val="none" w:sz="0" w:space="0" w:color="auto"/>
                                                                                                                                                          </w:divBdr>
                                                                                                                                                          <w:divsChild>
                                                                                                                                                            <w:div w:id="19555009">
                                                                                                                                                              <w:marLeft w:val="0"/>
                                                                                                                                                              <w:marRight w:val="0"/>
                                                                                                                                                              <w:marTop w:val="0"/>
                                                                                                                                                              <w:marBottom w:val="0"/>
                                                                                                                                                              <w:divBdr>
                                                                                                                                                                <w:top w:val="none" w:sz="0" w:space="0" w:color="auto"/>
                                                                                                                                                                <w:left w:val="none" w:sz="0" w:space="0" w:color="auto"/>
                                                                                                                                                                <w:bottom w:val="none" w:sz="0" w:space="0" w:color="auto"/>
                                                                                                                                                                <w:right w:val="none" w:sz="0" w:space="0" w:color="auto"/>
                                                                                                                                                              </w:divBdr>
                                                                                                                                                              <w:divsChild>
                                                                                                                                                                <w:div w:id="1046831826">
                                                                                                                                                                  <w:marLeft w:val="0"/>
                                                                                                                                                                  <w:marRight w:val="0"/>
                                                                                                                                                                  <w:marTop w:val="0"/>
                                                                                                                                                                  <w:marBottom w:val="0"/>
                                                                                                                                                                  <w:divBdr>
                                                                                                                                                                    <w:top w:val="none" w:sz="0" w:space="0" w:color="auto"/>
                                                                                                                                                                    <w:left w:val="none" w:sz="0" w:space="0" w:color="auto"/>
                                                                                                                                                                    <w:bottom w:val="none" w:sz="0" w:space="0" w:color="auto"/>
                                                                                                                                                                    <w:right w:val="none" w:sz="0" w:space="0" w:color="auto"/>
                                                                                                                                                                  </w:divBdr>
                                                                                                                                                                  <w:divsChild>
                                                                                                                                                                    <w:div w:id="1927306201">
                                                                                                                                                                      <w:marLeft w:val="0"/>
                                                                                                                                                                      <w:marRight w:val="0"/>
                                                                                                                                                                      <w:marTop w:val="0"/>
                                                                                                                                                                      <w:marBottom w:val="0"/>
                                                                                                                                                                      <w:divBdr>
                                                                                                                                                                        <w:top w:val="none" w:sz="0" w:space="0" w:color="auto"/>
                                                                                                                                                                        <w:left w:val="none" w:sz="0" w:space="0" w:color="auto"/>
                                                                                                                                                                        <w:bottom w:val="none" w:sz="0" w:space="0" w:color="auto"/>
                                                                                                                                                                        <w:right w:val="none" w:sz="0" w:space="0" w:color="auto"/>
                                                                                                                                                                      </w:divBdr>
                                                                                                                                                                      <w:divsChild>
                                                                                                                                                                        <w:div w:id="1181503972">
                                                                                                                                                                          <w:marLeft w:val="0"/>
                                                                                                                                                                          <w:marRight w:val="0"/>
                                                                                                                                                                          <w:marTop w:val="0"/>
                                                                                                                                                                          <w:marBottom w:val="0"/>
                                                                                                                                                                          <w:divBdr>
                                                                                                                                                                            <w:top w:val="none" w:sz="0" w:space="0" w:color="auto"/>
                                                                                                                                                                            <w:left w:val="none" w:sz="0" w:space="0" w:color="auto"/>
                                                                                                                                                                            <w:bottom w:val="none" w:sz="0" w:space="0" w:color="auto"/>
                                                                                                                                                                            <w:right w:val="none" w:sz="0" w:space="0" w:color="auto"/>
                                                                                                                                                                          </w:divBdr>
                                                                                                                                                                          <w:divsChild>
                                                                                                                                                                            <w:div w:id="2011174221">
                                                                                                                                                                              <w:marLeft w:val="0"/>
                                                                                                                                                                              <w:marRight w:val="0"/>
                                                                                                                                                                              <w:marTop w:val="0"/>
                                                                                                                                                                              <w:marBottom w:val="0"/>
                                                                                                                                                                              <w:divBdr>
                                                                                                                                                                                <w:top w:val="none" w:sz="0" w:space="0" w:color="auto"/>
                                                                                                                                                                                <w:left w:val="none" w:sz="0" w:space="0" w:color="auto"/>
                                                                                                                                                                                <w:bottom w:val="none" w:sz="0" w:space="0" w:color="auto"/>
                                                                                                                                                                                <w:right w:val="none" w:sz="0" w:space="0" w:color="auto"/>
                                                                                                                                                                              </w:divBdr>
                                                                                                                                                                              <w:divsChild>
                                                                                                                                                                                <w:div w:id="397557631">
                                                                                                                                                                                  <w:marLeft w:val="0"/>
                                                                                                                                                                                  <w:marRight w:val="0"/>
                                                                                                                                                                                  <w:marTop w:val="0"/>
                                                                                                                                                                                  <w:marBottom w:val="0"/>
                                                                                                                                                                                  <w:divBdr>
                                                                                                                                                                                    <w:top w:val="none" w:sz="0" w:space="0" w:color="auto"/>
                                                                                                                                                                                    <w:left w:val="none" w:sz="0" w:space="0" w:color="auto"/>
                                                                                                                                                                                    <w:bottom w:val="none" w:sz="0" w:space="0" w:color="auto"/>
                                                                                                                                                                                    <w:right w:val="none" w:sz="0" w:space="0" w:color="auto"/>
                                                                                                                                                                                  </w:divBdr>
                                                                                                                                                                                  <w:divsChild>
                                                                                                                                                                                    <w:div w:id="1591232629">
                                                                                                                                                                                      <w:marLeft w:val="0"/>
                                                                                                                                                                                      <w:marRight w:val="0"/>
                                                                                                                                                                                      <w:marTop w:val="0"/>
                                                                                                                                                                                      <w:marBottom w:val="0"/>
                                                                                                                                                                                      <w:divBdr>
                                                                                                                                                                                        <w:top w:val="none" w:sz="0" w:space="0" w:color="auto"/>
                                                                                                                                                                                        <w:left w:val="none" w:sz="0" w:space="0" w:color="auto"/>
                                                                                                                                                                                        <w:bottom w:val="none" w:sz="0" w:space="0" w:color="auto"/>
                                                                                                                                                                                        <w:right w:val="none" w:sz="0" w:space="0" w:color="auto"/>
                                                                                                                                                                                      </w:divBdr>
                                                                                                                                                                                      <w:divsChild>
                                                                                                                                                                                        <w:div w:id="2013019953">
                                                                                                                                                                                          <w:marLeft w:val="0"/>
                                                                                                                                                                                          <w:marRight w:val="0"/>
                                                                                                                                                                                          <w:marTop w:val="0"/>
                                                                                                                                                                                          <w:marBottom w:val="0"/>
                                                                                                                                                                                          <w:divBdr>
                                                                                                                                                                                            <w:top w:val="none" w:sz="0" w:space="0" w:color="auto"/>
                                                                                                                                                                                            <w:left w:val="none" w:sz="0" w:space="0" w:color="auto"/>
                                                                                                                                                                                            <w:bottom w:val="none" w:sz="0" w:space="0" w:color="auto"/>
                                                                                                                                                                                            <w:right w:val="none" w:sz="0" w:space="0" w:color="auto"/>
                                                                                                                                                                                          </w:divBdr>
                                                                                                                                                                                          <w:divsChild>
                                                                                                                                                                                            <w:div w:id="169563888">
                                                                                                                                                                                              <w:marLeft w:val="0"/>
                                                                                                                                                                                              <w:marRight w:val="0"/>
                                                                                                                                                                                              <w:marTop w:val="0"/>
                                                                                                                                                                                              <w:marBottom w:val="0"/>
                                                                                                                                                                                              <w:divBdr>
                                                                                                                                                                                                <w:top w:val="none" w:sz="0" w:space="0" w:color="auto"/>
                                                                                                                                                                                                <w:left w:val="none" w:sz="0" w:space="0" w:color="auto"/>
                                                                                                                                                                                                <w:bottom w:val="none" w:sz="0" w:space="0" w:color="auto"/>
                                                                                                                                                                                                <w:right w:val="none" w:sz="0" w:space="0" w:color="auto"/>
                                                                                                                                                                                              </w:divBdr>
                                                                                                                                                                                              <w:divsChild>
                                                                                                                                                                                                <w:div w:id="799957636">
                                                                                                                                                                                                  <w:marLeft w:val="0"/>
                                                                                                                                                                                                  <w:marRight w:val="0"/>
                                                                                                                                                                                                  <w:marTop w:val="0"/>
                                                                                                                                                                                                  <w:marBottom w:val="0"/>
                                                                                                                                                                                                  <w:divBdr>
                                                                                                                                                                                                    <w:top w:val="none" w:sz="0" w:space="0" w:color="auto"/>
                                                                                                                                                                                                    <w:left w:val="none" w:sz="0" w:space="0" w:color="auto"/>
                                                                                                                                                                                                    <w:bottom w:val="none" w:sz="0" w:space="0" w:color="auto"/>
                                                                                                                                                                                                    <w:right w:val="none" w:sz="0" w:space="0" w:color="auto"/>
                                                                                                                                                                                                  </w:divBdr>
                                                                                                                                                                                                  <w:divsChild>
                                                                                                                                                                                                    <w:div w:id="1516311383">
                                                                                                                                                                                                      <w:marLeft w:val="0"/>
                                                                                                                                                                                                      <w:marRight w:val="0"/>
                                                                                                                                                                                                      <w:marTop w:val="0"/>
                                                                                                                                                                                                      <w:marBottom w:val="0"/>
                                                                                                                                                                                                      <w:divBdr>
                                                                                                                                                                                                        <w:top w:val="none" w:sz="0" w:space="0" w:color="auto"/>
                                                                                                                                                                                                        <w:left w:val="none" w:sz="0" w:space="0" w:color="auto"/>
                                                                                                                                                                                                        <w:bottom w:val="none" w:sz="0" w:space="0" w:color="auto"/>
                                                                                                                                                                                                        <w:right w:val="none" w:sz="0" w:space="0" w:color="auto"/>
                                                                                                                                                                                                      </w:divBdr>
                                                                                                                                                                                                      <w:divsChild>
                                                                                                                                                                                                        <w:div w:id="449780397">
                                                                                                                                                                                                          <w:marLeft w:val="0"/>
                                                                                                                                                                                                          <w:marRight w:val="0"/>
                                                                                                                                                                                                          <w:marTop w:val="0"/>
                                                                                                                                                                                                          <w:marBottom w:val="0"/>
                                                                                                                                                                                                          <w:divBdr>
                                                                                                                                                                                                            <w:top w:val="none" w:sz="0" w:space="0" w:color="auto"/>
                                                                                                                                                                                                            <w:left w:val="none" w:sz="0" w:space="0" w:color="auto"/>
                                                                                                                                                                                                            <w:bottom w:val="none" w:sz="0" w:space="0" w:color="auto"/>
                                                                                                                                                                                                            <w:right w:val="none" w:sz="0" w:space="0" w:color="auto"/>
                                                                                                                                                                                                          </w:divBdr>
                                                                                                                                                                                                          <w:divsChild>
                                                                                                                                                                                                            <w:div w:id="1619069875">
                                                                                                                                                                                                              <w:marLeft w:val="0"/>
                                                                                                                                                                                                              <w:marRight w:val="0"/>
                                                                                                                                                                                                              <w:marTop w:val="0"/>
                                                                                                                                                                                                              <w:marBottom w:val="0"/>
                                                                                                                                                                                                              <w:divBdr>
                                                                                                                                                                                                                <w:top w:val="none" w:sz="0" w:space="0" w:color="auto"/>
                                                                                                                                                                                                                <w:left w:val="none" w:sz="0" w:space="0" w:color="auto"/>
                                                                                                                                                                                                                <w:bottom w:val="none" w:sz="0" w:space="0" w:color="auto"/>
                                                                                                                                                                                                                <w:right w:val="none" w:sz="0" w:space="0" w:color="auto"/>
                                                                                                                                                                                                              </w:divBdr>
                                                                                                                                                                                                              <w:divsChild>
                                                                                                                                                                                                                <w:div w:id="834342218">
                                                                                                                                                                                                                  <w:marLeft w:val="0"/>
                                                                                                                                                                                                                  <w:marRight w:val="0"/>
                                                                                                                                                                                                                  <w:marTop w:val="0"/>
                                                                                                                                                                                                                  <w:marBottom w:val="0"/>
                                                                                                                                                                                                                  <w:divBdr>
                                                                                                                                                                                                                    <w:top w:val="none" w:sz="0" w:space="0" w:color="auto"/>
                                                                                                                                                                                                                    <w:left w:val="none" w:sz="0" w:space="0" w:color="auto"/>
                                                                                                                                                                                                                    <w:bottom w:val="none" w:sz="0" w:space="0" w:color="auto"/>
                                                                                                                                                                                                                    <w:right w:val="none" w:sz="0" w:space="0" w:color="auto"/>
                                                                                                                                                                                                                  </w:divBdr>
                                                                                                                                                                                                                  <w:divsChild>
                                                                                                                                                                                                                    <w:div w:id="1490438837">
                                                                                                                                                                                                                      <w:marLeft w:val="0"/>
                                                                                                                                                                                                                      <w:marRight w:val="0"/>
                                                                                                                                                                                                                      <w:marTop w:val="0"/>
                                                                                                                                                                                                                      <w:marBottom w:val="0"/>
                                                                                                                                                                                                                      <w:divBdr>
                                                                                                                                                                                                                        <w:top w:val="none" w:sz="0" w:space="0" w:color="auto"/>
                                                                                                                                                                                                                        <w:left w:val="none" w:sz="0" w:space="0" w:color="auto"/>
                                                                                                                                                                                                                        <w:bottom w:val="none" w:sz="0" w:space="0" w:color="auto"/>
                                                                                                                                                                                                                        <w:right w:val="none" w:sz="0" w:space="0" w:color="auto"/>
                                                                                                                                                                                                                      </w:divBdr>
                                                                                                                                                                                                                      <w:divsChild>
                                                                                                                                                                                                                        <w:div w:id="1234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536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drew.kasarskis@mssm.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B77C0-ACF5-744B-9433-14E3C2C6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18200</Words>
  <Characters>103746</Characters>
  <Application>Microsoft Macintosh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Steno Outline.docx</vt:lpstr>
    </vt:vector>
  </TitlesOfParts>
  <Company>Icahn School of Medicine at Mount Sinai</Company>
  <LinksUpToDate>false</LinksUpToDate>
  <CharactersWithSpaces>121703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Steno Outline.docx</dc:title>
  <cp:lastModifiedBy>Theodore Pak</cp:lastModifiedBy>
  <cp:revision>423</cp:revision>
  <cp:lastPrinted>2015-08-14T17:15:00Z</cp:lastPrinted>
  <dcterms:created xsi:type="dcterms:W3CDTF">2015-04-22T15:32:00Z</dcterms:created>
  <dcterms:modified xsi:type="dcterms:W3CDTF">2015-08-19T18:11:00Z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theodore.r.pak@gmail.com@www.mendeley.com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http://www.zotero.org/styles/antimicrobial-agents-and-chemotherapy</vt:lpwstr>
  </property>
  <property fmtid="{D5CDD505-2E9C-101B-9397-08002B2CF9AE}" pid="11" name="Mendeley Recent Style Name 3_1">
    <vt:lpwstr>Antimicrobial Agents and Chemotherapy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http://csl.mendeley.com/styles/100600971/journal-of-antimicrobial-chemotherapy</vt:lpwstr>
  </property>
  <property fmtid="{D5CDD505-2E9C-101B-9397-08002B2CF9AE}" pid="19" name="Mendeley Recent Style Name 7_1">
    <vt:lpwstr>Journal of Antimicrobial Chemotherapy - Theodore Pak</vt:lpwstr>
  </property>
  <property fmtid="{D5CDD505-2E9C-101B-9397-08002B2CF9AE}" pid="20" name="Mendeley Recent Style Id 8_1">
    <vt:lpwstr>http://csl.mendeley.com/styles/100600971/journal-of-infectious-diseases</vt:lpwstr>
  </property>
  <property fmtid="{D5CDD505-2E9C-101B-9397-08002B2CF9AE}" pid="21" name="Mendeley Recent Style Name 8_1">
    <vt:lpwstr>Journal of Infectious Diseases - Theodore Pak</vt:lpwstr>
  </property>
  <property fmtid="{D5CDD505-2E9C-101B-9397-08002B2CF9AE}" pid="22" name="Mendeley Recent Style Id 9_1">
    <vt:lpwstr>http://csl.mendeley.com/styles/100600971/national-library-of-medicine-10</vt:lpwstr>
  </property>
  <property fmtid="{D5CDD505-2E9C-101B-9397-08002B2CF9AE}" pid="23" name="Mendeley Recent Style Name 9_1">
    <vt:lpwstr>National Library of Medicine (w/ PMCID/PMID) - Theodore Pak</vt:lpwstr>
  </property>
  <property fmtid="{D5CDD505-2E9C-101B-9397-08002B2CF9AE}" pid="24" name="Mendeley Citation Style_1">
    <vt:lpwstr>http://www.zotero.org/styles/antimicrobial-agents-and-chemotherapy</vt:lpwstr>
  </property>
</Properties>
</file>